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 xml:space="preserve">MINUTA DE TERMO DE CONTRATO DE </w:t>
      </w:r>
      <w:bookmarkEnd w:id="0"/>
      <w:r>
        <w:rPr>
          <w:rFonts w:ascii="Arial" w:hAnsi="Arial" w:cs="Arial"/>
          <w:b/>
        </w:rPr>
        <w:t>COMPRA</w:t>
      </w:r>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w:t>
      </w:r>
      <w:r>
        <w:rPr>
          <w:rFonts w:ascii="Arial" w:hAnsi="Arial" w:cs="Arial"/>
          <w:b/>
          <w:bCs/>
          <w:sz w:val="22"/>
          <w:szCs w:val="22"/>
          <w:highlight w:val="none"/>
        </w:rPr>
        <w:t xml:space="preserve">nº </w:t>
      </w:r>
      <w:r>
        <w:rPr>
          <w:rFonts w:hint="default" w:ascii="Arial" w:hAnsi="Arial" w:cs="Arial"/>
          <w:b/>
          <w:bCs/>
          <w:sz w:val="22"/>
          <w:szCs w:val="22"/>
          <w:highlight w:val="none"/>
          <w:lang w:val="pt-BR"/>
        </w:rPr>
        <w:t>15.027/2026</w:t>
      </w:r>
      <w:r>
        <w:rPr>
          <w:rFonts w:ascii="Arial" w:hAnsi="Arial" w:cs="Arial"/>
          <w:b/>
          <w:bCs/>
          <w:sz w:val="22"/>
          <w:szCs w:val="22"/>
          <w:highlight w:val="none"/>
        </w:rPr>
        <w:t>,</w:t>
      </w:r>
      <w:r>
        <w:rPr>
          <w:rFonts w:ascii="Arial" w:hAnsi="Arial" w:cs="Arial"/>
          <w:b/>
          <w:bCs/>
          <w:sz w:val="22"/>
          <w:szCs w:val="22"/>
        </w:rPr>
        <w:t xml:space="preserve"> </w:t>
      </w:r>
      <w:r>
        <w:rPr>
          <w:rFonts w:hint="default" w:ascii="Arial" w:hAnsi="Arial" w:cs="Arial"/>
          <w:b/>
          <w:bCs/>
          <w:sz w:val="22"/>
          <w:szCs w:val="22"/>
          <w:lang w:val="pt-BR"/>
        </w:rPr>
        <w:t xml:space="preserve">ID INTERNO Nº 90.059/2026,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Pregão Eletrônico nº</w:t>
      </w:r>
      <w:r>
        <w:rPr>
          <w:rFonts w:hint="default" w:ascii="Arial" w:hAnsi="Arial" w:cs="Arial"/>
          <w:b/>
          <w:bCs/>
          <w:sz w:val="22"/>
          <w:szCs w:val="22"/>
          <w:highlight w:val="none"/>
          <w:lang w:val="pt-BR"/>
        </w:rPr>
        <w:t xml:space="preserve"> 985867-38/2026</w:t>
      </w:r>
      <w:r>
        <w:rPr>
          <w:rFonts w:ascii="Arial" w:hAnsi="Arial" w:cs="Arial"/>
          <w:sz w:val="22"/>
          <w:szCs w:val="22"/>
          <w:highlight w:val="none"/>
        </w:rPr>
        <w:t xml:space="preserve">, </w:t>
      </w:r>
      <w:r>
        <w:rPr>
          <w:rFonts w:ascii="Arial" w:hAnsi="Arial" w:cs="Arial"/>
          <w:sz w:val="22"/>
          <w:szCs w:val="22"/>
        </w:rPr>
        <w:t>mediante as cláusulas e condições a seguir enunciadas.</w:t>
      </w:r>
      <w:bookmarkStart w:id="4" w:name="_GoBack"/>
      <w:bookmarkEnd w:id="4"/>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hint="default" w:ascii="Arial" w:hAnsi="Arial" w:cs="Arial"/>
          <w:b/>
          <w:bCs w:val="0"/>
          <w:iCs/>
          <w:lang w:val="pt-BR"/>
        </w:rPr>
        <w:t xml:space="preserve"> CONTRATAÇÃO de empresa especializada no fornecimento de CAMISA DE UNIFORME MODELO POLO (UNISSEX) PARA ATENDER OS SERVIDORES DA REDE MUNICIPAL DE EDUCAÇÃO DO MUNICIPAL DE NOVA FRIBURGO-RJ PARA O ANO LETIVO DE 2026,</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CATMAT</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 xml:space="preserve">O prazo de vigência da contratação é de .............................. contados do(a) ............................., prorrogável por até 10 anos, na forma dos </w:t>
      </w:r>
      <w:r>
        <w:rPr>
          <w:color w:val="auto"/>
        </w:rPr>
        <w:fldChar w:fldCharType="begin"/>
      </w:r>
      <w:r>
        <w:rPr>
          <w:color w:val="auto"/>
        </w:rPr>
        <w:instrText xml:space="preserve"> HYPERLINK "http://www.planalto.gov.br/ccivil_03/_ato2019-2022/2021/lei/L14133.htm" \l "art106" </w:instrText>
      </w:r>
      <w:r>
        <w:rPr>
          <w:color w:val="auto"/>
        </w:rPr>
        <w:fldChar w:fldCharType="separate"/>
      </w:r>
      <w:r>
        <w:rPr>
          <w:rFonts w:ascii="Arial" w:hAnsi="Arial" w:cs="Arial"/>
          <w:bCs/>
          <w:iCs/>
          <w:color w:val="auto"/>
        </w:rPr>
        <w:t>artigos 106 e 107 da Lei n° 14.133, de 2021</w:t>
      </w:r>
      <w:r>
        <w:rPr>
          <w:rFonts w:ascii="Arial" w:hAnsi="Arial" w:cs="Arial"/>
          <w:bCs/>
          <w:iCs/>
          <w:color w:val="auto"/>
        </w:rPr>
        <w:fldChar w:fldCharType="end"/>
      </w:r>
      <w:r>
        <w:rPr>
          <w:rFonts w:ascii="Arial" w:hAnsi="Arial" w:cs="Arial"/>
          <w:bCs/>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que trata este item é condicionada ao ateste, pela autoridade competente, de que as condições e os preços permanecem vantajosos para a Administração, permitida a negociação com 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prorrogação de contrato deverá ser promovida mediante celebração de termo aditivo.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MODELO DE EXECUÇÃO DO OBJETO (arts. 6º, XXIII, alínea “e” e 40, §1º, inciso II, da Lei nº 14.133/2021).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A entrega do objeto será efetuada mediante solicitação, atendendo ao pedido e a necessidade da Administração Pública, através do responsável pelo setor correspondente, com prazo de entrega não superior a 30 (trinta) dias úteis contados do recebimento da(s) Nota(s) de Empenho(s);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Após a expedição da autorização de fornecimento, providenciar o agendamento prévio com o Almoxarifado da Secretaria Municipal de Educação para evitar possível interferência nas atividades do mesmo;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Os objetos deverão ser entregues parceladamente, de acordo com as solicitações da Municipalidade em conformidade com as especificações exigidas no Termo de Referência;</w:t>
      </w:r>
      <w:r>
        <w:rPr>
          <w:rFonts w:hint="default" w:ascii="Arial" w:hAnsi="Arial" w:cs="Arial"/>
          <w:bCs/>
          <w:iCs/>
          <w:lang w:val="pt-BR"/>
        </w:rPr>
        <w:br w:type="textWrapping"/>
      </w:r>
      <w:r>
        <w:rPr>
          <w:rFonts w:hint="default" w:ascii="Arial" w:hAnsi="Arial" w:cs="Arial"/>
          <w:bCs/>
          <w:iCs/>
          <w:lang w:val="pt-BR"/>
        </w:rPr>
        <w:t xml:space="preserve">3.1.1.3. </w:t>
      </w:r>
      <w:r>
        <w:rPr>
          <w:rFonts w:hint="default" w:ascii="Arial" w:hAnsi="Arial" w:cs="Arial"/>
          <w:b/>
          <w:bCs w:val="0"/>
          <w:iCs/>
          <w:lang w:val="pt-BR"/>
        </w:rPr>
        <w:t xml:space="preserve">Para facilitar na conferência, armazenagem e na logística de entrega os objetos deverão ser embalados individualmente em sacola plástica resistente compatível com cada tamanho e vedada com fita transparente, sem mistura de tamanho, acondicionadas em caixa de papelão resistente com no mínimo 60 unidades, amarradas de 10 em 10, devidamente vedada com as indicações de tamanho e quantidade;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3.1.1.4 Na hipótese de a verificação a que se refere o subitem anterior, objetos misturados e embalados de forma incorreta, os mesmos serão devolvidos para adequação e posterior entrega. </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O(s) Gestor(s) da Ata de Registro de Preços encaminhará para a empresa contratada, juntamente com a(s) Nota(s) de Empenho(s) o pedido o local a ser realizada a entrega;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Quaisquer discrepâncias nas especificações técnicas e recomendações das normas vigentes específicas, bem como todos os acabamentos acordados serão consideradas não conformidades e sujeitas a correção ou substituição pela contratada, sem ônus adicional para esta Pasta.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bens serão recebidos provisoriamente, de forma sumária, no prazo de 2 (dois) dias, pelo(a) responsável pelo acompanhamento e fiscalização do contrato, para efeito de posterior verificação de sua conformidade com as especificações constantes no Termo de Referência e na proposta;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Será indispensável que todo produto licitado atenda às especificações técnicas e recomendações das normas vigentes específicas.  Todo acabamento deve ser isento de rebarbas, defeitos, etc;</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Os bens poderão ser rejeitados, no todo ou em parte, quando em desacordo com as especificações constantes no Termo de Referência e na proposta, devendo ser substituídos no prazo de 7 (sete) dias, a contar da notificação da contratada, às suas custas, sem prejuízo da aplicação das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Os bens serão recebidos definitivamente no prazo de 2 (dois) dias, contados do recebimento provisório, após a verificação da qualidade e quantidade do material e conseqüente aceitação mediante termo detalhado;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3.1.8.1. Na hipótese de a verificação a que se refere o subitem anterior não ser procedida dentro do prazo fixado, reputar-se-á como realizada, consumando-se o recebimento definitivo no dia do esgotamento do prazo.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O recebimento provisório ou definitivo não excluirá a responsabilidade civil pela solidez e pela segurança do serviço nem a responsabilidade ético-profissional pela perfeita execução do contrato, nos termos do artigo 140, § 2º da Lei 14.133/2021;</w:t>
      </w:r>
    </w:p>
    <w:p>
      <w:pPr>
        <w:pStyle w:val="19"/>
        <w:widowControl/>
        <w:tabs>
          <w:tab w:val="left" w:pos="426"/>
        </w:tabs>
        <w:autoSpaceDE/>
        <w:autoSpaceDN/>
        <w:spacing w:before="120" w:after="120" w:line="276" w:lineRule="auto"/>
        <w:ind w:left="0"/>
        <w:jc w:val="both"/>
        <w:rPr>
          <w:rFonts w:hint="default" w:ascii="Arial" w:hAnsi="Arial" w:cs="Arial"/>
          <w:b/>
          <w:bCs w:val="0"/>
          <w:iCs/>
          <w:u w:val="single"/>
          <w:lang w:val="pt-BR"/>
        </w:rPr>
      </w:pPr>
      <w:r>
        <w:rPr>
          <w:rFonts w:hint="default" w:ascii="Arial" w:hAnsi="Arial" w:cs="Arial"/>
          <w:bCs/>
          <w:iCs/>
          <w:lang w:val="pt-BR"/>
        </w:rPr>
        <w:t xml:space="preserve">3.1.10. Os produtos serão recebidos no Almoxarifado da Secretaria Municipal de Educação (Endereço, telefone, referência e horário/dias de funcionamento a baixo) </w:t>
      </w:r>
      <w:r>
        <w:rPr>
          <w:rFonts w:hint="default" w:ascii="Arial" w:hAnsi="Arial" w:cs="Arial"/>
          <w:b/>
          <w:bCs w:val="0"/>
          <w:iCs/>
          <w:u w:val="single"/>
          <w:lang w:val="pt-BR"/>
        </w:rPr>
        <w:t xml:space="preserve">no local indicado pelo responsável do Almoxarifado, levando-se em conta os empecilhos como: escadas ou rampas. </w:t>
      </w:r>
    </w:p>
    <w:tbl>
      <w:tblPr>
        <w:tblStyle w:val="6"/>
        <w:tblW w:w="9595" w:type="dxa"/>
        <w:tblInd w:w="123" w:type="dxa"/>
        <w:tblLayout w:type="fixed"/>
        <w:tblCellMar>
          <w:top w:w="0" w:type="dxa"/>
          <w:left w:w="108" w:type="dxa"/>
          <w:bottom w:w="0" w:type="dxa"/>
          <w:right w:w="108" w:type="dxa"/>
        </w:tblCellMar>
      </w:tblPr>
      <w:tblGrid>
        <w:gridCol w:w="3175"/>
        <w:gridCol w:w="6420"/>
      </w:tblGrid>
      <w:tr>
        <w:tblPrEx>
          <w:tblCellMar>
            <w:top w:w="0" w:type="dxa"/>
            <w:left w:w="108" w:type="dxa"/>
            <w:bottom w:w="0" w:type="dxa"/>
            <w:right w:w="108" w:type="dxa"/>
          </w:tblCellMar>
        </w:tblPrEx>
        <w:trPr>
          <w:trHeight w:val="449" w:hRule="atLeast"/>
        </w:trPr>
        <w:tc>
          <w:tcPr>
            <w:tcW w:w="3175" w:type="dxa"/>
            <w:tcBorders>
              <w:top w:val="single" w:color="000000" w:sz="4" w:space="0"/>
              <w:bottom w:val="single" w:color="000000" w:sz="4"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Secretaria requisitante:</w:t>
            </w:r>
          </w:p>
        </w:tc>
        <w:tc>
          <w:tcPr>
            <w:tcW w:w="6420" w:type="dxa"/>
            <w:tcBorders>
              <w:top w:val="single" w:color="000000" w:sz="4" w:space="0"/>
              <w:bottom w:val="single" w:color="000000" w:sz="4"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Almoxarifado da Secretaria Municipal de Educação</w:t>
            </w:r>
          </w:p>
        </w:tc>
      </w:tr>
      <w:tr>
        <w:tblPrEx>
          <w:tblCellMar>
            <w:top w:w="0" w:type="dxa"/>
            <w:left w:w="108" w:type="dxa"/>
            <w:bottom w:w="0" w:type="dxa"/>
            <w:right w:w="108" w:type="dxa"/>
          </w:tblCellMar>
        </w:tblPrEx>
        <w:trPr>
          <w:trHeight w:val="2278" w:hRule="atLeast"/>
        </w:trPr>
        <w:tc>
          <w:tcPr>
            <w:tcW w:w="3175" w:type="dxa"/>
            <w:tcBorders>
              <w:top w:val="single" w:color="000000" w:sz="4" w:space="0"/>
              <w:bottom w:val="single" w:color="000000" w:sz="4"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Endereço:</w:t>
            </w:r>
          </w:p>
        </w:tc>
        <w:tc>
          <w:tcPr>
            <w:tcW w:w="6420" w:type="dxa"/>
            <w:tcBorders>
              <w:top w:val="single" w:color="000000" w:sz="4" w:space="0"/>
              <w:bottom w:val="single" w:color="000000" w:sz="4"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Avenida Antônio Mario de Azevedo, nº. 2.838, Área Via-A, Córrego D’Antas - Nova Friburgo - RJ - Cep: 28.630-310,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
                <w:bCs w:val="0"/>
                <w:iCs/>
                <w:lang w:val="pt-BR"/>
              </w:rPr>
              <w:t>Ref:</w:t>
            </w:r>
            <w:r>
              <w:rPr>
                <w:rFonts w:hint="default" w:ascii="Arial" w:hAnsi="Arial" w:cs="Arial"/>
                <w:bCs/>
                <w:iCs/>
                <w:lang w:val="pt-BR"/>
              </w:rPr>
              <w:t xml:space="preserve"> Estrada Friburgo - Teresópolis, km 2 - Antiga Nacif Papeis (Ao lado do Motel Happy End)</w:t>
            </w:r>
          </w:p>
        </w:tc>
      </w:tr>
      <w:tr>
        <w:tblPrEx>
          <w:tblCellMar>
            <w:top w:w="0" w:type="dxa"/>
            <w:left w:w="108" w:type="dxa"/>
            <w:bottom w:w="0" w:type="dxa"/>
            <w:right w:w="108" w:type="dxa"/>
          </w:tblCellMar>
        </w:tblPrEx>
        <w:trPr>
          <w:trHeight w:val="915" w:hRule="atLeast"/>
        </w:trPr>
        <w:tc>
          <w:tcPr>
            <w:tcW w:w="3175" w:type="dxa"/>
            <w:tcBorders>
              <w:top w:val="single" w:color="000000" w:sz="4" w:space="0"/>
              <w:bottom w:val="single" w:color="000000" w:sz="4"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Horário de entrega e        descarga:</w:t>
            </w:r>
          </w:p>
        </w:tc>
        <w:tc>
          <w:tcPr>
            <w:tcW w:w="6420" w:type="dxa"/>
            <w:tcBorders>
              <w:top w:val="single" w:color="000000" w:sz="4" w:space="0"/>
              <w:bottom w:val="single" w:color="000000" w:sz="4" w:space="0"/>
            </w:tcBorders>
            <w:vAlign w:val="center"/>
          </w:tcPr>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De: 07:30 até às 14:30 horas - de segunda a quinta-feira (impreterivelmente).</w:t>
            </w:r>
          </w:p>
          <w:p>
            <w:pPr>
              <w:pStyle w:val="19"/>
              <w:widowControl/>
              <w:tabs>
                <w:tab w:val="left" w:pos="426"/>
              </w:tabs>
              <w:autoSpaceDE/>
              <w:autoSpaceDN/>
              <w:spacing w:before="120" w:after="120" w:line="276" w:lineRule="auto"/>
              <w:ind w:left="0"/>
              <w:jc w:val="both"/>
              <w:rPr>
                <w:rFonts w:hint="default" w:ascii="Arial" w:hAnsi="Arial" w:cs="Arial"/>
                <w:b/>
                <w:bCs w:val="0"/>
                <w:iCs/>
                <w:lang w:val="pt-BR"/>
              </w:rPr>
            </w:pPr>
            <w:r>
              <w:rPr>
                <w:rFonts w:hint="default" w:ascii="Arial" w:hAnsi="Arial" w:cs="Arial"/>
                <w:b/>
                <w:bCs w:val="0"/>
                <w:iCs/>
                <w:lang w:val="pt-BR"/>
              </w:rPr>
              <w:t>É IMPRESCINDÍVEL O AGENDAMENTO PARA ENTREGA PELO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
                <w:bCs w:val="0"/>
                <w:iCs/>
                <w:lang w:val="pt-BR"/>
              </w:rPr>
              <w:t>TEL: (22) 2529-3388 ou pelo E-mail: almoxarifado@sme.novafriburgo.rj.gov.br</w:t>
            </w:r>
          </w:p>
        </w:tc>
      </w:tr>
    </w:tbl>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O prazo de garantia contratual dos bens, complementar à garantia legal, será de, no mínimo, 12 (doze) meses, contado a partir do primeiro dia útil subseqüente à data do recebimento definitivo do objeto atendendo as especificidades de cada item constante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Caso o prazo da garantia oferecida pelo fabricante seja inferior ao estabelecido nesta cláusula, o fornecedor deverá complementar a garantia do bem ofertado pelo período restante;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3.1.12.1. A garantia será prestada com vistas a manter os equipamentos fornecidos em perfeitas condições de uso, sem qualquer ônus ou custo adicional para o Contratante;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3.1.12.2. A garantia abrange a realização da manutenção corretiva dos bens pelo próprio Contratado, ou, se for o caso, por meio de assistência técnica autorizada, de acordo com as normas técnicas específicas;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3.1.12.3. Entende-se por manutenção corretiva aquela destinada a corrigir os defeitos apresentados pelos bens, compreendendo a substituição de peças, a realização de ajustes, reparos e correções necessárias;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3.1.12.4. Os bens que apresentarem vício ou defeito no período de vigência da garantia deverão ser substituídos por outros novos, de primeiro uso, e originais, que apresentem padrões de qualidade e desempenho iguais ou superiores aos das peças utilizadas na fabricação do equipamento;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3.1.12.5. Uma vez notificado, o Contratado realizará a reparação ou substituição dos bens que apresentarem vício  ou  defeito  no  prazo  de  até  15 (quinze)  dias úteis, contados à partir da data de retirada do equipamento das dependências da Administração pelo Contratado ou pela assistência técnica autorizada;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3.1.12.6. O prazo indicado no subitem anterior, durante seu transcurso, poderá ser prorrogado uma única vez, por igual período, mediante solicitação escrita e justificada do Contratado, aceita pelo Contratante;</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3.1.12.7.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3.1.12.8. O custo referente ao transporte dos objetos cobertos pela garantia será de responsabilidade do Contratado;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3.1.12.9. 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MODELO DE GESTÃO DO CONTRATO (art. 6º, XXIII, alínea “f”, da Lei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 (IN 5/2017, art. 44,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 (IN 5/2017, art. 44, 31º).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Serão exigidos as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 14.133/21;</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3.2.11. 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3.2.13.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eastAsia="en-US"/>
        </w:rPr>
      </w:pPr>
      <w:r>
        <w:rPr>
          <w:rFonts w:hint="default" w:ascii="Arial" w:hAnsi="Arial" w:cs="Arial"/>
          <w:bCs/>
          <w:iCs/>
          <w:lang w:val="pt-BR" w:eastAsia="en-US"/>
        </w:rPr>
        <w:t>3.2.14.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ascii="Arial" w:hAnsi="Arial" w:cs="Arial" w:eastAsiaTheme="majorEastAsia"/>
          <w:b/>
          <w:bCs/>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.1. A(s) Nota(s) Fiscal(is) deverá ser emitida em nome de: </w:t>
      </w:r>
      <w:r>
        <w:rPr>
          <w:rFonts w:ascii="Arial" w:hAnsi="Arial" w:cs="Arial" w:eastAsiaTheme="majorEastAsia"/>
          <w:b/>
          <w:bCs/>
          <w:lang w:val="pt-BR" w:eastAsia="pt-BR"/>
        </w:rPr>
        <w:t>MUNICÍPIO DE NOVA FRIBURGO, CNPJ: 28.606.630/0001-23, ENDEREÇO: AVENIDA ALBERTO BRAUNE, 225, CENTRO,NOVA FRIBURGO - RJ, CEP: 28613-001.</w:t>
      </w:r>
    </w:p>
    <w:p>
      <w:pPr>
        <w:pStyle w:val="19"/>
        <w:tabs>
          <w:tab w:val="left" w:pos="284"/>
        </w:tabs>
        <w:spacing w:line="276" w:lineRule="auto"/>
        <w:ind w:left="0"/>
        <w:jc w:val="both"/>
        <w:rPr>
          <w:rFonts w:ascii="Arial" w:hAnsi="Arial" w:cs="Arial" w:eastAsiaTheme="majorEastAsia"/>
          <w:b/>
          <w:bCs/>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2. Todos os materiais serão recebidos no Almoxarifado da Secretaria Municipal de Educação, conforme solicitação, no endereço abaixo </w:t>
      </w:r>
      <w:r>
        <w:rPr>
          <w:rFonts w:ascii="Arial" w:hAnsi="Arial" w:cs="Arial" w:eastAsiaTheme="majorEastAsia"/>
          <w:b/>
          <w:bCs/>
          <w:lang w:val="pt-BR" w:eastAsia="pt-BR"/>
        </w:rPr>
        <w:t xml:space="preserve">no local indicado pelo responsável do Almoxarifado, levando-se em conta os empecilhos como: escadas ou rampas. </w:t>
      </w:r>
    </w:p>
    <w:tbl>
      <w:tblPr>
        <w:tblStyle w:val="6"/>
        <w:tblW w:w="9120" w:type="dxa"/>
        <w:tblInd w:w="123" w:type="dxa"/>
        <w:tblLayout w:type="fixed"/>
        <w:tblCellMar>
          <w:top w:w="0" w:type="dxa"/>
          <w:left w:w="108" w:type="dxa"/>
          <w:bottom w:w="0" w:type="dxa"/>
          <w:right w:w="108" w:type="dxa"/>
        </w:tblCellMar>
      </w:tblPr>
      <w:tblGrid>
        <w:gridCol w:w="3175"/>
        <w:gridCol w:w="5945"/>
      </w:tblGrid>
      <w:tr>
        <w:tblPrEx>
          <w:tblCellMar>
            <w:top w:w="0" w:type="dxa"/>
            <w:left w:w="108" w:type="dxa"/>
            <w:bottom w:w="0" w:type="dxa"/>
            <w:right w:w="108" w:type="dxa"/>
          </w:tblCellMar>
        </w:tblPrEx>
        <w:trPr>
          <w:trHeight w:val="2278" w:hRule="atLeast"/>
        </w:trPr>
        <w:tc>
          <w:tcPr>
            <w:tcW w:w="3175" w:type="dxa"/>
            <w:tcBorders>
              <w:top w:val="single" w:color="000000" w:sz="4" w:space="0"/>
              <w:bottom w:val="single" w:color="000000" w:sz="4" w:space="0"/>
            </w:tcBorders>
            <w:vAlign w:val="center"/>
          </w:tcPr>
          <w:p>
            <w:pPr>
              <w:pStyle w:val="19"/>
              <w:tabs>
                <w:tab w:val="left" w:pos="284"/>
              </w:tabs>
              <w:spacing w:line="276" w:lineRule="auto"/>
              <w:ind w:left="0"/>
              <w:jc w:val="both"/>
              <w:rPr>
                <w:rFonts w:ascii="Arial" w:hAnsi="Arial" w:cs="Arial" w:eastAsiaTheme="majorEastAsia"/>
                <w:b/>
                <w:bCs/>
                <w:lang w:val="pt-BR" w:eastAsia="pt-BR"/>
              </w:rPr>
            </w:pPr>
            <w:r>
              <w:rPr>
                <w:rFonts w:ascii="Arial" w:hAnsi="Arial" w:cs="Arial" w:eastAsiaTheme="majorEastAsia"/>
                <w:b/>
                <w:bCs/>
                <w:lang w:val="pt-BR" w:eastAsia="pt-BR"/>
              </w:rPr>
              <w:t>Endereço:</w:t>
            </w:r>
          </w:p>
        </w:tc>
        <w:tc>
          <w:tcPr>
            <w:tcW w:w="5945" w:type="dxa"/>
            <w:tcBorders>
              <w:top w:val="single" w:color="000000" w:sz="4" w:space="0"/>
              <w:bottom w:val="single" w:color="000000" w:sz="4" w:space="0"/>
            </w:tcBorders>
            <w:vAlign w:val="center"/>
          </w:tcPr>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bCs/>
                <w:lang w:val="pt-BR" w:eastAsia="pt-BR"/>
              </w:rPr>
              <w:t xml:space="preserve">Avenida Antônio Mario de Azevedo, nº. 2.838, Área Via-A, Córrego D’Antas </w:t>
            </w:r>
            <w:r>
              <w:rPr>
                <w:rFonts w:ascii="Arial" w:hAnsi="Arial" w:cs="Arial" w:eastAsiaTheme="majorEastAsia"/>
                <w:b w:val="0"/>
                <w:bCs w:val="0"/>
                <w:lang w:val="pt-BR" w:eastAsia="pt-BR"/>
              </w:rPr>
              <w:t>- Nova Friburgo - RJ - Cep: 28.630-310</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bCs/>
                <w:lang w:val="pt-BR" w:eastAsia="pt-BR"/>
              </w:rPr>
              <w:t xml:space="preserve">Tel: </w:t>
            </w:r>
            <w:r>
              <w:rPr>
                <w:rFonts w:ascii="Arial" w:hAnsi="Arial" w:cs="Arial" w:eastAsiaTheme="majorEastAsia"/>
                <w:b w:val="0"/>
                <w:bCs w:val="0"/>
                <w:lang w:val="pt-BR" w:eastAsia="pt-BR"/>
              </w:rPr>
              <w:t>(22) 2529-3388</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bCs/>
                <w:lang w:val="pt-BR" w:eastAsia="pt-BR"/>
              </w:rPr>
              <w:t xml:space="preserve">Ref: </w:t>
            </w:r>
            <w:r>
              <w:rPr>
                <w:rFonts w:ascii="Arial" w:hAnsi="Arial" w:cs="Arial" w:eastAsiaTheme="majorEastAsia"/>
                <w:b w:val="0"/>
                <w:bCs w:val="0"/>
                <w:lang w:val="pt-BR" w:eastAsia="pt-BR"/>
              </w:rPr>
              <w:t>Estrada Friburgo - Teresópolis, km 2 - Antiga Nacif Papeis (Ao lado do Motel  Happy End).</w:t>
            </w:r>
          </w:p>
        </w:tc>
      </w:tr>
      <w:tr>
        <w:tblPrEx>
          <w:tblCellMar>
            <w:top w:w="0" w:type="dxa"/>
            <w:left w:w="108" w:type="dxa"/>
            <w:bottom w:w="0" w:type="dxa"/>
            <w:right w:w="108" w:type="dxa"/>
          </w:tblCellMar>
        </w:tblPrEx>
        <w:trPr>
          <w:trHeight w:val="915" w:hRule="atLeast"/>
        </w:trPr>
        <w:tc>
          <w:tcPr>
            <w:tcW w:w="3175" w:type="dxa"/>
            <w:tcBorders>
              <w:top w:val="single" w:color="000000" w:sz="4" w:space="0"/>
              <w:bottom w:val="single" w:color="000000" w:sz="4" w:space="0"/>
            </w:tcBorders>
            <w:vAlign w:val="center"/>
          </w:tcPr>
          <w:p>
            <w:pPr>
              <w:pStyle w:val="19"/>
              <w:tabs>
                <w:tab w:val="left" w:pos="284"/>
              </w:tabs>
              <w:spacing w:line="276" w:lineRule="auto"/>
              <w:ind w:left="0"/>
              <w:jc w:val="both"/>
              <w:rPr>
                <w:rFonts w:ascii="Arial" w:hAnsi="Arial" w:cs="Arial" w:eastAsiaTheme="majorEastAsia"/>
                <w:b/>
                <w:bCs/>
                <w:lang w:val="pt-BR" w:eastAsia="pt-BR"/>
              </w:rPr>
            </w:pPr>
            <w:r>
              <w:rPr>
                <w:rFonts w:ascii="Arial" w:hAnsi="Arial" w:cs="Arial" w:eastAsiaTheme="majorEastAsia"/>
                <w:b/>
                <w:bCs/>
                <w:lang w:val="pt-BR" w:eastAsia="pt-BR"/>
              </w:rPr>
              <w:t>Horário de entrega e        descarga:</w:t>
            </w:r>
          </w:p>
        </w:tc>
        <w:tc>
          <w:tcPr>
            <w:tcW w:w="5945" w:type="dxa"/>
            <w:tcBorders>
              <w:top w:val="single" w:color="000000" w:sz="4" w:space="0"/>
              <w:bottom w:val="single" w:color="000000" w:sz="4" w:space="0"/>
            </w:tcBorders>
            <w:vAlign w:val="center"/>
          </w:tcPr>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t>de 07:30 até às 14:30 horas - de segunda a quinta-feira (impreterivelmente).</w:t>
            </w:r>
          </w:p>
          <w:p>
            <w:pPr>
              <w:pStyle w:val="19"/>
              <w:tabs>
                <w:tab w:val="left" w:pos="284"/>
              </w:tabs>
              <w:spacing w:line="276" w:lineRule="auto"/>
              <w:ind w:left="0"/>
              <w:jc w:val="both"/>
              <w:rPr>
                <w:rFonts w:ascii="Arial" w:hAnsi="Arial" w:cs="Arial" w:eastAsiaTheme="majorEastAsia"/>
                <w:b/>
                <w:bCs/>
                <w:lang w:val="pt-BR" w:eastAsia="pt-BR"/>
              </w:rPr>
            </w:pPr>
            <w:r>
              <w:rPr>
                <w:rFonts w:ascii="Arial" w:hAnsi="Arial" w:cs="Arial" w:eastAsiaTheme="majorEastAsia"/>
                <w:b/>
                <w:bCs/>
                <w:lang w:val="pt-BR" w:eastAsia="pt-BR"/>
              </w:rPr>
              <w:t>É IMPRESCINDÍVEL O AGENDAMENTO PARA ENTREGA PELO</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bCs/>
                <w:lang w:val="pt-BR" w:eastAsia="pt-BR"/>
              </w:rPr>
              <w:t>TEL: (22) 2529-3388 ou pelo E-mail: almoxarifado@sme.novafriburgo.rj.gov.br</w:t>
            </w:r>
          </w:p>
        </w:tc>
      </w:tr>
    </w:tbl>
    <w:p>
      <w:pPr>
        <w:pStyle w:val="19"/>
        <w:tabs>
          <w:tab w:val="left" w:pos="284"/>
        </w:tabs>
        <w:spacing w:line="276" w:lineRule="auto"/>
        <w:ind w:left="0"/>
        <w:jc w:val="both"/>
        <w:rPr>
          <w:rFonts w:ascii="Arial" w:hAnsi="Arial" w:cs="Arial" w:eastAsiaTheme="majorEastAsia"/>
          <w:b w:val="0"/>
          <w:bCs w:val="0"/>
          <w:u w:val="single"/>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.3. </w:t>
      </w:r>
      <w:r>
        <w:rPr>
          <w:rFonts w:ascii="Arial" w:hAnsi="Arial" w:cs="Arial" w:eastAsiaTheme="majorEastAsia"/>
          <w:b w:val="0"/>
          <w:bCs w:val="0"/>
          <w:u w:val="single"/>
          <w:lang w:val="pt-BR" w:eastAsia="pt-BR"/>
        </w:rPr>
        <w:t>Da liquidação da despesa:</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.3.1. A liquidação será realizada pela Secretaria Municipal de Fazenda, a partir do cumprimento das obrigações elencadas n</w:t>
      </w:r>
      <w:r>
        <w:rPr>
          <w:rFonts w:hint="default" w:ascii="Arial" w:hAnsi="Arial" w:cs="Arial" w:eastAsiaTheme="majorEastAsia"/>
          <w:b w:val="0"/>
          <w:bCs w:val="0"/>
          <w:lang w:val="en-US" w:eastAsia="pt-BR"/>
        </w:rPr>
        <w:t>o</w:t>
      </w:r>
      <w:r>
        <w:rPr>
          <w:rFonts w:ascii="Arial" w:hAnsi="Arial" w:cs="Arial" w:eastAsiaTheme="majorEastAsia"/>
          <w:b w:val="0"/>
          <w:bCs w:val="0"/>
          <w:lang w:val="pt-BR" w:eastAsia="pt-BR"/>
        </w:rPr>
        <w:t xml:space="preserve"> Termo de Referência, em obediência ao Decreto nº 2493, de 07 de novembro de 2023 e ao Decreto nº 3116 de 18 de setembro de 2024  </w:t>
      </w:r>
      <w:r>
        <w:rPr>
          <w:rFonts w:ascii="Arial" w:hAnsi="Arial" w:cs="Arial" w:eastAsiaTheme="majorEastAsia"/>
          <w:b w:val="0"/>
          <w:bCs w:val="0"/>
          <w:lang w:val="pt-BR" w:eastAsia="pt-BR"/>
        </w:rPr>
        <w:fldChar w:fldCharType="begin"/>
      </w:r>
      <w:r>
        <w:rPr>
          <w:rFonts w:ascii="Arial" w:hAnsi="Arial" w:cs="Arial" w:eastAsiaTheme="majorEastAsia"/>
          <w:b w:val="0"/>
          <w:bCs w:val="0"/>
          <w:lang w:val="pt-BR" w:eastAsia="pt-BR"/>
        </w:rPr>
        <w:instrText xml:space="preserve"> HYPERLINK "https://pmnf.rj.gov.br/paginas-centralizadas/9_64_Legislacoes.html" \h </w:instrText>
      </w:r>
      <w:r>
        <w:rPr>
          <w:rFonts w:ascii="Arial" w:hAnsi="Arial" w:cs="Arial" w:eastAsiaTheme="majorEastAsia"/>
          <w:b w:val="0"/>
          <w:bCs w:val="0"/>
          <w:lang w:val="pt-BR" w:eastAsia="pt-BR"/>
        </w:rPr>
        <w:fldChar w:fldCharType="separate"/>
      </w:r>
      <w:r>
        <w:rPr>
          <w:rFonts w:ascii="Arial" w:hAnsi="Arial" w:cs="Arial" w:eastAsiaTheme="majorEastAsia"/>
          <w:b w:val="0"/>
          <w:bCs w:val="0"/>
          <w:lang w:val="pt-BR" w:eastAsia="pt-BR"/>
        </w:rPr>
        <w:t>https://pmnf.rj.gov.br/paginas-centralizadas/9_64_Legislacoes.html</w:t>
      </w:r>
      <w:r>
        <w:rPr>
          <w:rFonts w:ascii="Arial" w:hAnsi="Arial" w:cs="Arial" w:eastAsiaTheme="majorEastAsia"/>
          <w:b w:val="0"/>
          <w:bCs w:val="0"/>
          <w:lang w:val="pt-BR" w:eastAsia="pt-BR"/>
        </w:rPr>
        <w:fldChar w:fldCharType="end"/>
      </w:r>
      <w:r>
        <w:rPr>
          <w:rFonts w:ascii="Arial" w:hAnsi="Arial" w:cs="Arial" w:eastAsiaTheme="majorEastAsia"/>
          <w:b w:val="0"/>
          <w:bCs w:val="0"/>
          <w:lang w:val="pt-BR" w:eastAsia="pt-BR"/>
        </w:rPr>
        <w:t>;</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.3.2.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.4. </w:t>
      </w:r>
      <w:r>
        <w:rPr>
          <w:rFonts w:ascii="Arial" w:hAnsi="Arial" w:cs="Arial" w:eastAsiaTheme="majorEastAsia"/>
          <w:b w:val="0"/>
          <w:bCs w:val="0"/>
          <w:u w:val="single"/>
          <w:lang w:val="pt-BR" w:eastAsia="pt-BR"/>
        </w:rPr>
        <w:t>Do pagamento da despesa:</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.4.1. O pagamento será efetuado conforme estabelecido no Decreto Municipal nº 2493, de 07 de novembro de 2023, desde que as certidões listadas abaixo estejam dentro da validade: </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t>- Negativa de Débitos Trabalhistas;</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t>- Fazenda Federal – abrange as contribuições sociais;</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t>- FGTS;</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t>- PGE – referente à Dívida Ativa Estadual;</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t>- Municipal – referente ao ISS e Dívida Ativa;</w:t>
      </w:r>
    </w:p>
    <w:p>
      <w:pPr>
        <w:pStyle w:val="19"/>
        <w:tabs>
          <w:tab w:val="left" w:pos="284"/>
        </w:tabs>
        <w:spacing w:line="276" w:lineRule="auto"/>
        <w:ind w:left="0"/>
        <w:jc w:val="both"/>
        <w:rPr>
          <w:rFonts w:ascii="Arial" w:hAnsi="Arial" w:cs="Arial" w:eastAsiaTheme="majorEastAsia"/>
          <w:b w:val="0"/>
          <w:bCs w:val="0"/>
          <w:lang w:val="pt-BR" w:eastAsia="pt-BR"/>
        </w:rPr>
      </w:pPr>
      <w:r>
        <w:rPr>
          <w:rFonts w:ascii="Arial" w:hAnsi="Arial" w:cs="Arial" w:eastAsiaTheme="majorEastAsia"/>
          <w:b w:val="0"/>
          <w:bCs w:val="0"/>
          <w:lang w:val="pt-BR" w:eastAsia="pt-BR"/>
        </w:rPr>
        <w:t>- Estadual CND – referente ao ICMS.</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 xml:space="preserve">.4.2. A Nota Fiscal deverá conter a identificação do Banco, número da Agência e da Conta Corrente, para que possibilite o CONTRATANTE efetuar o pagamento do valor devido; </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.4.3. Na ocorrência de rejeição da(s) Nota(s) Fiscal(is), motivada por erro ou incorreções, o prazo para pagamento estipulado acima passará a ser contado a partir da data de sua reapresentação;</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.4.4.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ascii="Arial" w:hAnsi="Arial" w:cs="Arial" w:eastAsiaTheme="majorEastAsia"/>
          <w:b w:val="0"/>
          <w:bCs w:val="0"/>
          <w:lang w:val="pt-BR" w:eastAsia="pt-BR"/>
        </w:rPr>
      </w:pPr>
      <w:r>
        <w:rPr>
          <w:rFonts w:hint="default" w:ascii="Arial" w:hAnsi="Arial" w:cs="Arial" w:eastAsiaTheme="majorEastAsia"/>
          <w:b w:val="0"/>
          <w:bCs w:val="0"/>
          <w:lang w:val="en-US" w:eastAsia="pt-BR"/>
        </w:rPr>
        <w:t>6</w:t>
      </w:r>
      <w:r>
        <w:rPr>
          <w:rFonts w:ascii="Arial" w:hAnsi="Arial" w:cs="Arial" w:eastAsiaTheme="majorEastAsia"/>
          <w:b w:val="0"/>
          <w:bCs w:val="0"/>
          <w:lang w:val="pt-BR" w:eastAsia="pt-BR"/>
        </w:rPr>
        <w:t>.4.5.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color w:val="auto"/>
        </w:rPr>
        <w:t xml:space="preserve">Após o interregno de um ano, e independentemente de pedido do contratado, os preços iniciais serão reajustados, mediante a aplicação, pelo contratante, </w:t>
      </w:r>
      <w:r>
        <w:rPr>
          <w:rFonts w:ascii="Arial" w:hAnsi="Arial" w:cs="Arial"/>
          <w:bCs/>
          <w:iCs/>
          <w:color w:val="auto"/>
          <w:lang w:val="pt-BR"/>
        </w:rPr>
        <w:t>do Índice Nacional de Preços ao Consumidor Amplo (IPCA), instituído pelo Instituto</w:t>
      </w:r>
      <w:r>
        <w:rPr>
          <w:rFonts w:ascii="Arial" w:hAnsi="Arial" w:cs="Arial"/>
          <w:bCs/>
          <w:iCs/>
          <w:lang w:val="pt-BR"/>
        </w:rPr>
        <w:t xml:space="preserve">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bCs/>
          <w:iCs/>
          <w:lang w:val="pt-BR"/>
        </w:rPr>
        <w:t>Responsabilizar</w:t>
      </w:r>
      <w:r>
        <w:rPr>
          <w:rFonts w:ascii="Arial" w:hAnsi="Arial" w:cs="Arial"/>
        </w:rPr>
        <w:t>-se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9"/>
          <w:rFonts w:ascii="Arial" w:hAnsi="Arial" w:cs="Arial"/>
        </w:rPr>
        <w:t>Lei nº 8.078, de 1990</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contratante, no prazo máximo de 24 (vinte e quatro) horas que antecede a data da entrega, os motivos que impossibilitem o cumprimento do prazo previsto, com a devida comprovação</w:t>
      </w:r>
    </w:p>
    <w:p>
      <w:pPr>
        <w:pStyle w:val="19"/>
        <w:widowControl/>
        <w:numPr>
          <w:ilvl w:val="2"/>
          <w:numId w:val="3"/>
        </w:numPr>
        <w:tabs>
          <w:tab w:val="left" w:pos="426"/>
        </w:tabs>
        <w:autoSpaceDE/>
        <w:autoSpaceDN/>
        <w:spacing w:before="120" w:after="120" w:line="276" w:lineRule="auto"/>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Atender </w:t>
      </w:r>
      <w:r>
        <w:rPr>
          <w:rFonts w:ascii="Arial" w:hAnsi="Arial" w:cs="Arial"/>
        </w:rPr>
        <w:t>às</w:t>
      </w:r>
      <w:r>
        <w:rPr>
          <w:rFonts w:ascii="Arial" w:hAnsi="Arial" w:cs="Arial"/>
          <w:color w:val="000000" w:themeColor="text1"/>
          <w14:textFill>
            <w14:solidFill>
              <w14:schemeClr w14:val="tx1"/>
            </w14:solidFill>
          </w14:textFill>
        </w:rPr>
        <w:t xml:space="preserve"> determinações regulares emitidas </w:t>
      </w:r>
      <w:r>
        <w:rPr>
          <w:rFonts w:ascii="Arial" w:hAnsi="Arial" w:cs="Arial"/>
          <w:bCs/>
          <w:iCs/>
          <w:lang w:val="pt-BR"/>
        </w:rPr>
        <w:t>pelo</w:t>
      </w:r>
      <w:r>
        <w:rPr>
          <w:rFonts w:ascii="Arial" w:hAnsi="Arial" w:cs="Arial"/>
          <w:color w:val="000000" w:themeColor="text1"/>
          <w14:textFill>
            <w14:solidFill>
              <w14:schemeClr w14:val="tx1"/>
            </w14:solidFill>
          </w14:textFill>
        </w:rPr>
        <w:t xml:space="preserve"> fiscal ou gestor do contrato ou autoridade superior (</w:t>
      </w:r>
      <w:r>
        <w:fldChar w:fldCharType="begin"/>
      </w:r>
      <w:r>
        <w:instrText xml:space="preserve"> HYPERLINK "http://www.planalto.gov.br/ccivil_03/_ato2019-2022/2021/lei/L14133.htm" \l "art137" </w:instrText>
      </w:r>
      <w:r>
        <w:fldChar w:fldCharType="separate"/>
      </w:r>
      <w:r>
        <w:rPr>
          <w:rStyle w:val="9"/>
          <w:rFonts w:ascii="Arial" w:hAnsi="Arial" w:cs="Arial"/>
        </w:rPr>
        <w:t>art. 137, II, da Lei n.º 14.133, de 2021</w:t>
      </w:r>
      <w:r>
        <w:rPr>
          <w:rStyle w:val="9"/>
          <w:rFonts w:ascii="Arial" w:hAnsi="Arial" w:cs="Arial"/>
        </w:rPr>
        <w:fldChar w:fldCharType="end"/>
      </w:r>
      <w:r>
        <w:rPr>
          <w:rFonts w:ascii="Arial" w:hAnsi="Arial" w:cs="Arial"/>
          <w:color w:val="000000" w:themeColor="text1"/>
          <w14:textFill>
            <w14:solidFill>
              <w14:schemeClr w14:val="tx1"/>
            </w14:solidFill>
          </w14:textFill>
        </w:rPr>
        <w:t xml:space="preserve">) e </w:t>
      </w:r>
      <w:r>
        <w:rPr>
          <w:rFonts w:ascii="Arial" w:hAnsi="Arial" w:cs="Arial"/>
        </w:rPr>
        <w:t>prestar todo esclarecimento ou informação por eles solicitados</w:t>
      </w:r>
      <w:r>
        <w:rPr>
          <w:rFonts w:ascii="Arial" w:hAnsi="Arial" w:cs="Arial"/>
          <w:color w:val="000000" w:themeColor="text1"/>
          <w14:textFill>
            <w14:solidFill>
              <w14:schemeClr w14:val="tx1"/>
            </w14:solidFill>
          </w14:textFil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Responsabilizar-se pelo cumprimento de todas as obrigações trabalhistas, previdenciárias, fiscais, comerciais e as </w:t>
      </w:r>
      <w:r>
        <w:rPr>
          <w:rFonts w:ascii="Arial" w:hAnsi="Arial" w:cs="Arial"/>
          <w:bCs/>
          <w:iCs/>
          <w:lang w:val="pt-BR"/>
        </w:rPr>
        <w:t>demais</w:t>
      </w:r>
      <w:r>
        <w:rPr>
          <w:rFonts w:ascii="Arial" w:hAnsi="Arial" w:cs="Arial"/>
        </w:rPr>
        <w:t xml:space="preserve"> previstas em legislação específica, cuja inadimplência não transfere a responsabilidade ao contratante e não poderá onerar o objeto do contrato;</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Comunicar ao Fiscal do contrato, no prazo de 24 (vinte e quatro) horas, qualquer ocorrência anormal ou acidente que se verifique no local da execução do objeto contratual.</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Manter durante toda a vigência do contrato, em compatibilidade com as obrigações assumidas, todas as condições exigidas para habilitação na licitação; </w:t>
      </w:r>
    </w:p>
    <w:p>
      <w:pPr>
        <w:pStyle w:val="45"/>
        <w:numPr>
          <w:ilvl w:val="1"/>
          <w:numId w:val="3"/>
        </w:numPr>
        <w:rPr>
          <w:b/>
          <w:bCs/>
          <w:sz w:val="22"/>
          <w:szCs w:val="22"/>
        </w:rPr>
      </w:pPr>
      <w:r>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9"/>
          <w:sz w:val="22"/>
          <w:szCs w:val="22"/>
        </w:rPr>
        <w:t>art. 116,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9"/>
          <w:sz w:val="22"/>
          <w:szCs w:val="22"/>
        </w:rPr>
        <w:t>art. 116, parágrafo único, da Lei n.º 14.133, de 2021</w:t>
      </w:r>
      <w:r>
        <w:rPr>
          <w:rStyle w:val="9"/>
          <w:sz w:val="22"/>
          <w:szCs w:val="22"/>
        </w:rPr>
        <w:fldChar w:fldCharType="end"/>
      </w:r>
      <w:r>
        <w:rPr>
          <w:sz w:val="22"/>
          <w:szCs w:val="22"/>
        </w:rPr>
        <w:t>);</w:t>
      </w:r>
    </w:p>
    <w:p>
      <w:pPr>
        <w:pStyle w:val="45"/>
        <w:numPr>
          <w:ilvl w:val="1"/>
          <w:numId w:val="3"/>
        </w:numPr>
        <w:rPr>
          <w:sz w:val="22"/>
          <w:szCs w:val="22"/>
        </w:rPr>
      </w:pPr>
      <w:r>
        <w:rPr>
          <w:sz w:val="22"/>
          <w:szCs w:val="22"/>
        </w:rPr>
        <w:t xml:space="preserve">Guardar sigilo sobre todas as informações obtidas em decorrência do cumprimento do contrato; </w:t>
      </w:r>
    </w:p>
    <w:p>
      <w:pPr>
        <w:pStyle w:val="45"/>
        <w:numPr>
          <w:ilvl w:val="1"/>
          <w:numId w:val="3"/>
        </w:numPr>
        <w:rPr>
          <w:sz w:val="22"/>
          <w:szCs w:val="22"/>
        </w:rPr>
      </w:pPr>
      <w:r>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Style w:val="9"/>
          <w:sz w:val="22"/>
          <w:szCs w:val="22"/>
        </w:rPr>
        <w:t>art. 124, II, d, da Lei nº 14.133, de 2021.</w:t>
      </w:r>
      <w:r>
        <w:rPr>
          <w:rStyle w:val="9"/>
          <w:sz w:val="22"/>
          <w:szCs w:val="22"/>
        </w:rPr>
        <w:fldChar w:fldCharType="end"/>
      </w:r>
    </w:p>
    <w:p>
      <w:pPr>
        <w:pStyle w:val="45"/>
        <w:numPr>
          <w:ilvl w:val="1"/>
          <w:numId w:val="3"/>
        </w:numPr>
        <w:rPr>
          <w:sz w:val="22"/>
          <w:szCs w:val="22"/>
        </w:rPr>
      </w:pPr>
      <w:r>
        <w:rPr>
          <w:sz w:val="22"/>
          <w:szCs w:val="22"/>
        </w:rPr>
        <w:t>Cumprir, além dos postulados legais vigentes de âmbito federal, estadual ou municipal, as normas de segurança do contratante.</w:t>
      </w:r>
    </w:p>
    <w:p>
      <w:pPr>
        <w:pStyle w:val="19"/>
        <w:tabs>
          <w:tab w:val="left" w:pos="284"/>
        </w:tabs>
        <w:spacing w:line="276" w:lineRule="auto"/>
        <w:ind w:left="0"/>
        <w:rPr>
          <w:rFonts w:ascii="Arial" w:hAnsi="Arial" w:cs="Arial" w:eastAsiaTheme="majorEastAsia"/>
          <w:b/>
          <w:bCs/>
          <w:lang w:val="pt-BR"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11.1,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11.1,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11.1,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11.1,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11.1,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CLÁUSULA DÉCIMA SEGUNDA – DA EXTINÇÃO CONTRATUAL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XIX</w:t>
      </w:r>
      <w:r>
        <w:rPr>
          <w:rStyle w:val="9"/>
          <w:rFonts w:ascii="Arial" w:hAnsi="Arial" w:cs="Arial"/>
          <w:sz w:val="22"/>
          <w:szCs w:val="22"/>
        </w:rPr>
        <w:fldChar w:fldCharType="end"/>
      </w:r>
      <w:r>
        <w:rPr>
          <w:rFonts w:ascii="Arial" w:hAnsi="Arial" w:cs="Arial"/>
          <w:sz w:val="22"/>
          <w:szCs w:val="22"/>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cs="Arial" w:eastAsiaTheme="minorEastAsia"/>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3"/>
        </w:numPr>
        <w:tabs>
          <w:tab w:val="left" w:pos="426"/>
        </w:tabs>
        <w:autoSpaceDE/>
        <w:autoSpaceDN/>
        <w:spacing w:before="120" w:after="120" w:line="276" w:lineRule="auto"/>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3"/>
        </w:numPr>
        <w:tabs>
          <w:tab w:val="left" w:pos="426"/>
        </w:tabs>
        <w:autoSpaceDE/>
        <w:autoSpaceDN/>
        <w:spacing w:before="120" w:after="120" w:line="276" w:lineRule="auto"/>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3"/>
        </w:numPr>
        <w:tabs>
          <w:tab w:val="left" w:pos="426"/>
        </w:tabs>
        <w:autoSpaceDE/>
        <w:autoSpaceDN/>
        <w:spacing w:before="120" w:after="120" w:line="276" w:lineRule="auto"/>
        <w:ind w:left="993" w:hanging="851"/>
        <w:jc w:val="both"/>
        <w:rPr>
          <w:rFonts w:ascii="Arial" w:hAnsi="Arial" w:cs="Arial"/>
        </w:rPr>
      </w:pPr>
      <w:r>
        <w:rPr>
          <w:rFonts w:ascii="Arial" w:hAnsi="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rPr>
          <w:rFonts w:ascii="Arial" w:hAnsi="Arial" w:cs="Arial"/>
          <w:sz w:val="22"/>
          <w:szCs w:val="22"/>
        </w:rPr>
      </w:pPr>
      <w:r>
        <w:rPr>
          <w:rFonts w:ascii="Arial" w:hAnsi="Arial" w:cs="Arial"/>
          <w:sz w:val="22"/>
          <w:szCs w:val="22"/>
        </w:rPr>
        <w:t xml:space="preserve"> CLÁUSULA DÉCIMA TERCEIRA – DOTAÇÃO ORÇAMENTÁRIA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rPr>
        <w:t>art. 92, VIII</w:t>
      </w:r>
      <w:r>
        <w:rPr>
          <w:rStyle w:val="9"/>
          <w:rFonts w:ascii="Arial" w:hAnsi="Arial" w:cs="Arial"/>
          <w:sz w:val="22"/>
          <w:szCs w:val="22"/>
        </w:rPr>
        <w:fldChar w:fldCharType="end"/>
      </w:r>
      <w:r>
        <w:rPr>
          <w:rFonts w:ascii="Arial" w:hAnsi="Arial" w:cs="Arial"/>
          <w:sz w:val="22"/>
          <w:szCs w:val="22"/>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hint="default" w:ascii="Arial" w:hAnsi="Arial" w:cs="Arial"/>
          <w:lang w:val="pt-BR"/>
        </w:rPr>
        <w:t xml:space="preserve"> </w:t>
      </w:r>
      <w:r>
        <w:rPr>
          <w:rFonts w:ascii="Arial" w:hAnsi="Arial" w:cs="Arial"/>
        </w:rPr>
        <w:t>As despesas decorrentes da presente contratação, previstos no</w:t>
      </w:r>
      <w:r>
        <w:rPr>
          <w:rFonts w:hint="default" w:ascii="Arial" w:hAnsi="Arial" w:cs="Arial"/>
          <w:lang w:val="pt-BR"/>
        </w:rPr>
        <w:t xml:space="preserve"> </w:t>
      </w:r>
      <w:r>
        <w:rPr>
          <w:rFonts w:ascii="Arial" w:hAnsi="Arial" w:cs="Arial"/>
        </w:rPr>
        <w:t>Termo de Referência, correrão por conta de recursos específicos consignados no Orçamento do Município, fonte de recurso e programa de trabalho, conforme especificado a seguir:</w:t>
      </w:r>
    </w:p>
    <w:tbl>
      <w:tblPr>
        <w:tblStyle w:val="6"/>
        <w:tblW w:w="9180" w:type="dxa"/>
        <w:jc w:val="center"/>
        <w:tblLayout w:type="fixed"/>
        <w:tblCellMar>
          <w:top w:w="55" w:type="dxa"/>
          <w:left w:w="108" w:type="dxa"/>
          <w:bottom w:w="55" w:type="dxa"/>
          <w:right w:w="108" w:type="dxa"/>
        </w:tblCellMar>
      </w:tblPr>
      <w:tblGrid>
        <w:gridCol w:w="884"/>
        <w:gridCol w:w="3773"/>
        <w:gridCol w:w="37"/>
        <w:gridCol w:w="4486"/>
      </w:tblGrid>
      <w:tr>
        <w:tblPrEx>
          <w:tblCellMar>
            <w:top w:w="55" w:type="dxa"/>
            <w:left w:w="108" w:type="dxa"/>
            <w:bottom w:w="55" w:type="dxa"/>
            <w:right w:w="108" w:type="dxa"/>
          </w:tblCellMar>
        </w:tblPrEx>
        <w:trPr>
          <w:jc w:val="center"/>
        </w:trPr>
        <w:tc>
          <w:tcPr>
            <w:tcW w:w="884" w:type="dxa"/>
            <w:tcBorders>
              <w:top w:val="single" w:color="000000" w:sz="4" w:space="0"/>
              <w:left w:val="single" w:color="000000" w:sz="4" w:space="0"/>
              <w:bottom w:val="single" w:color="000000" w:sz="4" w:space="0"/>
            </w:tcBorders>
            <w:vAlign w:val="center"/>
          </w:tcPr>
          <w:p>
            <w:pPr>
              <w:jc w:val="center"/>
              <w:rPr>
                <w:rFonts w:ascii="Arial" w:hAnsi="Arial" w:cs="Calibri"/>
                <w:sz w:val="22"/>
                <w:szCs w:val="22"/>
              </w:rPr>
            </w:pPr>
            <w:r>
              <w:rPr>
                <w:rFonts w:ascii="Arial" w:hAnsi="Arial" w:cs="Calibri"/>
                <w:sz w:val="22"/>
                <w:szCs w:val="22"/>
              </w:rPr>
              <w:t>1</w:t>
            </w:r>
            <w:r>
              <w:rPr>
                <w:rFonts w:hint="default" w:ascii="Arial" w:hAnsi="Arial" w:cs="Calibri"/>
                <w:sz w:val="22"/>
                <w:szCs w:val="22"/>
                <w:lang w:val="pt-BR"/>
              </w:rPr>
              <w:t>3</w:t>
            </w:r>
            <w:r>
              <w:rPr>
                <w:rFonts w:ascii="Arial" w:hAnsi="Arial" w:cs="Calibri"/>
                <w:sz w:val="22"/>
                <w:szCs w:val="22"/>
              </w:rPr>
              <w:t>.1.1.</w:t>
            </w:r>
          </w:p>
        </w:tc>
        <w:tc>
          <w:tcPr>
            <w:tcW w:w="3773" w:type="dxa"/>
            <w:tcBorders>
              <w:top w:val="single" w:color="000000" w:sz="4" w:space="0"/>
              <w:left w:val="single" w:color="000000" w:sz="4" w:space="0"/>
              <w:bottom w:val="single" w:color="000000" w:sz="4" w:space="0"/>
            </w:tcBorders>
            <w:vAlign w:val="center"/>
          </w:tcPr>
          <w:p>
            <w:pPr>
              <w:rPr>
                <w:rFonts w:ascii="Arial" w:hAnsi="Arial" w:cs="Calibri"/>
                <w:b/>
                <w:sz w:val="22"/>
                <w:szCs w:val="22"/>
              </w:rPr>
            </w:pPr>
            <w:r>
              <w:rPr>
                <w:rFonts w:ascii="Arial" w:hAnsi="Arial" w:cs="Calibri"/>
                <w:b/>
                <w:sz w:val="22"/>
                <w:szCs w:val="22"/>
              </w:rPr>
              <w:t>Órgão/unidade Orçamentária:</w:t>
            </w:r>
          </w:p>
        </w:tc>
        <w:tc>
          <w:tcPr>
            <w:tcW w:w="45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Arial" w:hAnsi="Arial" w:cs="Calibri"/>
                <w:sz w:val="22"/>
                <w:szCs w:val="22"/>
              </w:rPr>
            </w:pPr>
            <w:r>
              <w:rPr>
                <w:rFonts w:ascii="Arial" w:hAnsi="Arial" w:cs="Calibri"/>
                <w:sz w:val="22"/>
                <w:szCs w:val="22"/>
              </w:rPr>
              <w:t>Secretaria de Educação</w:t>
            </w:r>
          </w:p>
        </w:tc>
      </w:tr>
      <w:tr>
        <w:tblPrEx>
          <w:tblCellMar>
            <w:top w:w="55" w:type="dxa"/>
            <w:left w:w="108" w:type="dxa"/>
            <w:bottom w:w="55" w:type="dxa"/>
            <w:right w:w="108" w:type="dxa"/>
          </w:tblCellMar>
        </w:tblPrEx>
        <w:trPr>
          <w:trHeight w:val="1985" w:hRule="atLeast"/>
          <w:jc w:val="center"/>
        </w:trPr>
        <w:tc>
          <w:tcPr>
            <w:tcW w:w="884" w:type="dxa"/>
            <w:tcBorders>
              <w:left w:val="single" w:color="000000" w:sz="4" w:space="0"/>
              <w:bottom w:val="single" w:color="000000" w:sz="4" w:space="0"/>
            </w:tcBorders>
            <w:vAlign w:val="center"/>
          </w:tcPr>
          <w:p>
            <w:pPr>
              <w:jc w:val="center"/>
              <w:rPr>
                <w:rFonts w:ascii="Arial" w:hAnsi="Arial" w:cs="Calibri"/>
                <w:sz w:val="22"/>
                <w:szCs w:val="22"/>
              </w:rPr>
            </w:pPr>
            <w:r>
              <w:rPr>
                <w:rFonts w:ascii="Arial" w:hAnsi="Arial" w:cs="Calibri"/>
                <w:sz w:val="22"/>
                <w:szCs w:val="22"/>
              </w:rPr>
              <w:t>1</w:t>
            </w:r>
            <w:r>
              <w:rPr>
                <w:rFonts w:hint="default" w:ascii="Arial" w:hAnsi="Arial" w:cs="Calibri"/>
                <w:sz w:val="22"/>
                <w:szCs w:val="22"/>
                <w:lang w:val="pt-BR"/>
              </w:rPr>
              <w:t>3</w:t>
            </w:r>
            <w:r>
              <w:rPr>
                <w:rFonts w:ascii="Arial" w:hAnsi="Arial" w:cs="Calibri"/>
                <w:sz w:val="22"/>
                <w:szCs w:val="22"/>
              </w:rPr>
              <w:t>.1.2.</w:t>
            </w:r>
          </w:p>
        </w:tc>
        <w:tc>
          <w:tcPr>
            <w:tcW w:w="3773" w:type="dxa"/>
            <w:tcBorders>
              <w:left w:val="single" w:color="000000" w:sz="4" w:space="0"/>
              <w:bottom w:val="single" w:color="000000" w:sz="4" w:space="0"/>
            </w:tcBorders>
            <w:vAlign w:val="center"/>
          </w:tcPr>
          <w:p>
            <w:pPr>
              <w:rPr>
                <w:rFonts w:ascii="Arial" w:hAnsi="Arial" w:cs="Calibri"/>
                <w:b/>
                <w:sz w:val="22"/>
                <w:szCs w:val="22"/>
              </w:rPr>
            </w:pPr>
            <w:r>
              <w:rPr>
                <w:rFonts w:ascii="Arial" w:hAnsi="Arial" w:cs="Calibri"/>
                <w:b/>
                <w:sz w:val="22"/>
                <w:szCs w:val="22"/>
              </w:rPr>
              <w:t>Programa de trabalho:</w:t>
            </w:r>
          </w:p>
        </w:tc>
        <w:tc>
          <w:tcPr>
            <w:tcW w:w="4523" w:type="dxa"/>
            <w:gridSpan w:val="2"/>
            <w:tcBorders>
              <w:left w:val="single" w:color="000000" w:sz="4" w:space="0"/>
              <w:bottom w:val="single" w:color="000000" w:sz="4" w:space="0"/>
              <w:right w:val="single" w:color="000000" w:sz="4" w:space="0"/>
            </w:tcBorders>
            <w:vAlign w:val="center"/>
          </w:tcPr>
          <w:p>
            <w:pPr>
              <w:jc w:val="center"/>
              <w:rPr>
                <w:rFonts w:ascii="Arial" w:hAnsi="Arial" w:eastAsia="SimSun" w:cs="Arial"/>
                <w:sz w:val="22"/>
              </w:rPr>
            </w:pPr>
            <w:r>
              <w:rPr>
                <w:rFonts w:ascii="Arial" w:hAnsi="Arial" w:eastAsia="SimSun" w:cs="Arial"/>
                <w:sz w:val="22"/>
              </w:rPr>
              <w:t>07 001 04 122 1043 2.309</w:t>
            </w:r>
          </w:p>
          <w:p>
            <w:pPr>
              <w:jc w:val="center"/>
              <w:rPr>
                <w:rFonts w:ascii="Arial" w:hAnsi="Arial" w:eastAsia="SimSun" w:cs="Arial"/>
                <w:sz w:val="22"/>
                <w:szCs w:val="22"/>
              </w:rPr>
            </w:pPr>
            <w:r>
              <w:rPr>
                <w:rFonts w:ascii="Arial" w:hAnsi="Arial" w:eastAsia="SimSun" w:cs="Arial"/>
                <w:sz w:val="22"/>
                <w:szCs w:val="22"/>
              </w:rPr>
              <w:t>07 002 12 361 1053 2.330</w:t>
            </w:r>
          </w:p>
          <w:p>
            <w:pPr>
              <w:jc w:val="center"/>
              <w:rPr>
                <w:rFonts w:ascii="Arial" w:hAnsi="Arial" w:eastAsia="SimSun" w:cs="Arial"/>
                <w:sz w:val="22"/>
                <w:szCs w:val="22"/>
              </w:rPr>
            </w:pPr>
            <w:r>
              <w:rPr>
                <w:rFonts w:ascii="Arial" w:hAnsi="Arial" w:eastAsia="SimSun" w:cs="Arial"/>
                <w:sz w:val="22"/>
                <w:szCs w:val="22"/>
              </w:rPr>
              <w:t>07 003 12 365 1062 2.348</w:t>
            </w:r>
          </w:p>
          <w:p>
            <w:pPr>
              <w:jc w:val="center"/>
              <w:rPr>
                <w:rFonts w:ascii="Arial" w:hAnsi="Arial" w:eastAsia="SimSun" w:cs="Arial"/>
                <w:sz w:val="22"/>
                <w:szCs w:val="22"/>
              </w:rPr>
            </w:pPr>
            <w:r>
              <w:rPr>
                <w:rFonts w:ascii="Arial" w:hAnsi="Arial" w:eastAsia="SimSun" w:cs="Arial"/>
                <w:sz w:val="22"/>
                <w:szCs w:val="22"/>
              </w:rPr>
              <w:t>07 004 12 365 1070 2.365</w:t>
            </w:r>
          </w:p>
          <w:p>
            <w:pPr>
              <w:jc w:val="center"/>
              <w:rPr>
                <w:rFonts w:ascii="Arial" w:hAnsi="Arial" w:eastAsia="SimSun" w:cs="Arial"/>
                <w:sz w:val="22"/>
                <w:szCs w:val="22"/>
              </w:rPr>
            </w:pPr>
            <w:r>
              <w:rPr>
                <w:rFonts w:ascii="Arial" w:hAnsi="Arial" w:eastAsia="SimSun" w:cs="Arial"/>
                <w:sz w:val="22"/>
                <w:szCs w:val="22"/>
              </w:rPr>
              <w:t>07 005 12 363 1074 2.373</w:t>
            </w:r>
          </w:p>
          <w:p>
            <w:pPr>
              <w:jc w:val="center"/>
              <w:rPr>
                <w:rFonts w:ascii="Arial" w:hAnsi="Arial" w:eastAsia="SimSun" w:cs="Arial"/>
                <w:sz w:val="22"/>
                <w:szCs w:val="22"/>
              </w:rPr>
            </w:pPr>
            <w:r>
              <w:rPr>
                <w:rFonts w:ascii="Arial" w:hAnsi="Arial" w:eastAsia="SimSun" w:cs="Arial"/>
                <w:sz w:val="22"/>
                <w:szCs w:val="22"/>
              </w:rPr>
              <w:t>07 004 12 367 1072 2.370</w:t>
            </w:r>
          </w:p>
          <w:p>
            <w:pPr>
              <w:jc w:val="center"/>
              <w:rPr>
                <w:rFonts w:ascii="Arial" w:hAnsi="Arial" w:eastAsia="SimSun" w:cs="Arial"/>
                <w:sz w:val="22"/>
                <w:szCs w:val="22"/>
              </w:rPr>
            </w:pPr>
            <w:r>
              <w:rPr>
                <w:rFonts w:ascii="Arial" w:hAnsi="Arial" w:eastAsia="SimSun" w:cs="Arial"/>
                <w:sz w:val="22"/>
                <w:szCs w:val="22"/>
              </w:rPr>
              <w:t>07 002 12 367 1055 2.336</w:t>
            </w:r>
          </w:p>
        </w:tc>
      </w:tr>
      <w:tr>
        <w:tblPrEx>
          <w:tblCellMar>
            <w:top w:w="55" w:type="dxa"/>
            <w:left w:w="108" w:type="dxa"/>
            <w:bottom w:w="55" w:type="dxa"/>
            <w:right w:w="108" w:type="dxa"/>
          </w:tblCellMar>
        </w:tblPrEx>
        <w:trPr>
          <w:trHeight w:val="1239" w:hRule="atLeast"/>
          <w:jc w:val="center"/>
        </w:trPr>
        <w:tc>
          <w:tcPr>
            <w:tcW w:w="884" w:type="dxa"/>
            <w:tcBorders>
              <w:left w:val="single" w:color="000000" w:sz="4" w:space="0"/>
              <w:bottom w:val="single" w:color="000000" w:sz="4" w:space="0"/>
            </w:tcBorders>
            <w:vAlign w:val="center"/>
          </w:tcPr>
          <w:p>
            <w:pPr>
              <w:jc w:val="center"/>
              <w:rPr>
                <w:rFonts w:ascii="Arial" w:hAnsi="Arial" w:cs="Calibri"/>
                <w:sz w:val="22"/>
                <w:szCs w:val="22"/>
              </w:rPr>
            </w:pPr>
            <w:r>
              <w:rPr>
                <w:rFonts w:ascii="Arial" w:hAnsi="Arial" w:cs="Calibri"/>
                <w:sz w:val="22"/>
                <w:szCs w:val="22"/>
              </w:rPr>
              <w:t>1</w:t>
            </w:r>
            <w:r>
              <w:rPr>
                <w:rFonts w:hint="default" w:ascii="Arial" w:hAnsi="Arial" w:cs="Calibri"/>
                <w:sz w:val="22"/>
                <w:szCs w:val="22"/>
                <w:lang w:val="pt-BR"/>
              </w:rPr>
              <w:t>3</w:t>
            </w:r>
            <w:r>
              <w:rPr>
                <w:rFonts w:ascii="Arial" w:hAnsi="Arial" w:cs="Calibri"/>
                <w:sz w:val="22"/>
                <w:szCs w:val="22"/>
              </w:rPr>
              <w:t>.1.3.</w:t>
            </w:r>
          </w:p>
        </w:tc>
        <w:tc>
          <w:tcPr>
            <w:tcW w:w="3773" w:type="dxa"/>
            <w:tcBorders>
              <w:left w:val="single" w:color="000000" w:sz="4" w:space="0"/>
              <w:bottom w:val="single" w:color="000000" w:sz="4" w:space="0"/>
            </w:tcBorders>
            <w:vAlign w:val="center"/>
          </w:tcPr>
          <w:p>
            <w:pPr>
              <w:rPr>
                <w:rFonts w:ascii="Arial" w:hAnsi="Arial" w:cs="Calibri"/>
                <w:b/>
                <w:sz w:val="22"/>
                <w:szCs w:val="22"/>
              </w:rPr>
            </w:pPr>
            <w:r>
              <w:rPr>
                <w:rFonts w:ascii="Arial" w:hAnsi="Arial" w:cs="Calibri"/>
                <w:b/>
                <w:sz w:val="22"/>
                <w:szCs w:val="22"/>
              </w:rPr>
              <w:t>Fonte de Recurso:</w:t>
            </w:r>
          </w:p>
        </w:tc>
        <w:tc>
          <w:tcPr>
            <w:tcW w:w="4523" w:type="dxa"/>
            <w:gridSpan w:val="2"/>
            <w:tcBorders>
              <w:left w:val="single" w:color="000000" w:sz="4" w:space="0"/>
              <w:bottom w:val="single" w:color="000000" w:sz="4" w:space="0"/>
              <w:right w:val="single" w:color="000000" w:sz="4" w:space="0"/>
            </w:tcBorders>
            <w:vAlign w:val="center"/>
          </w:tcPr>
          <w:p>
            <w:pPr>
              <w:jc w:val="center"/>
              <w:rPr>
                <w:rFonts w:ascii="Arial" w:hAnsi="Arial"/>
                <w:sz w:val="20"/>
              </w:rPr>
            </w:pPr>
            <w:r>
              <w:rPr>
                <w:rFonts w:ascii="Arial" w:hAnsi="Arial" w:eastAsia="SimSun" w:cs="Arial"/>
                <w:sz w:val="22"/>
                <w:szCs w:val="22"/>
              </w:rPr>
              <w:t>150000000000</w:t>
            </w:r>
          </w:p>
          <w:p>
            <w:pPr>
              <w:jc w:val="center"/>
              <w:rPr>
                <w:rFonts w:ascii="Arial" w:hAnsi="Arial"/>
                <w:sz w:val="20"/>
              </w:rPr>
            </w:pPr>
            <w:r>
              <w:rPr>
                <w:rFonts w:ascii="Arial" w:hAnsi="Arial" w:eastAsia="SimSun" w:cs="Arial"/>
                <w:sz w:val="22"/>
                <w:szCs w:val="22"/>
              </w:rPr>
              <w:t>150010010000</w:t>
            </w:r>
          </w:p>
          <w:p>
            <w:pPr>
              <w:jc w:val="center"/>
              <w:rPr>
                <w:rFonts w:ascii="Arial" w:hAnsi="Arial"/>
                <w:sz w:val="20"/>
              </w:rPr>
            </w:pPr>
            <w:r>
              <w:rPr>
                <w:rFonts w:ascii="Arial" w:hAnsi="Arial" w:eastAsia="SimSun" w:cs="Arial"/>
                <w:sz w:val="22"/>
              </w:rPr>
              <w:t>155000000000</w:t>
            </w:r>
          </w:p>
        </w:tc>
      </w:tr>
      <w:tr>
        <w:tblPrEx>
          <w:tblCellMar>
            <w:top w:w="55" w:type="dxa"/>
            <w:left w:w="108" w:type="dxa"/>
            <w:bottom w:w="55" w:type="dxa"/>
            <w:right w:w="108" w:type="dxa"/>
          </w:tblCellMar>
        </w:tblPrEx>
        <w:trPr>
          <w:jc w:val="center"/>
        </w:trPr>
        <w:tc>
          <w:tcPr>
            <w:tcW w:w="884" w:type="dxa"/>
            <w:tcBorders>
              <w:left w:val="single" w:color="000000" w:sz="4" w:space="0"/>
              <w:bottom w:val="single" w:color="000000" w:sz="4" w:space="0"/>
            </w:tcBorders>
            <w:vAlign w:val="center"/>
          </w:tcPr>
          <w:p>
            <w:pPr>
              <w:jc w:val="center"/>
              <w:rPr>
                <w:rFonts w:ascii="Arial" w:hAnsi="Arial" w:cs="Calibri"/>
                <w:sz w:val="22"/>
                <w:szCs w:val="22"/>
              </w:rPr>
            </w:pPr>
            <w:r>
              <w:rPr>
                <w:rFonts w:ascii="Arial" w:hAnsi="Arial" w:cs="Calibri"/>
                <w:sz w:val="22"/>
                <w:szCs w:val="22"/>
              </w:rPr>
              <w:t>1</w:t>
            </w:r>
            <w:r>
              <w:rPr>
                <w:rFonts w:hint="default" w:ascii="Arial" w:hAnsi="Arial" w:cs="Calibri"/>
                <w:sz w:val="22"/>
                <w:szCs w:val="22"/>
                <w:lang w:val="pt-BR"/>
              </w:rPr>
              <w:t>3</w:t>
            </w:r>
            <w:r>
              <w:rPr>
                <w:rFonts w:ascii="Arial" w:hAnsi="Arial" w:cs="Calibri"/>
                <w:sz w:val="22"/>
                <w:szCs w:val="22"/>
              </w:rPr>
              <w:t>.1.4.</w:t>
            </w:r>
          </w:p>
        </w:tc>
        <w:tc>
          <w:tcPr>
            <w:tcW w:w="3810" w:type="dxa"/>
            <w:gridSpan w:val="2"/>
            <w:tcBorders>
              <w:left w:val="single" w:color="000000" w:sz="4" w:space="0"/>
              <w:bottom w:val="single" w:color="000000" w:sz="4" w:space="0"/>
            </w:tcBorders>
            <w:vAlign w:val="center"/>
          </w:tcPr>
          <w:p>
            <w:pPr>
              <w:rPr>
                <w:rFonts w:ascii="Arial" w:hAnsi="Arial" w:cs="Calibri"/>
                <w:b/>
                <w:sz w:val="22"/>
                <w:szCs w:val="22"/>
              </w:rPr>
            </w:pPr>
          </w:p>
          <w:p>
            <w:pPr>
              <w:rPr>
                <w:rFonts w:ascii="Arial" w:hAnsi="Arial" w:cs="Calibri"/>
                <w:b/>
                <w:sz w:val="22"/>
                <w:szCs w:val="22"/>
              </w:rPr>
            </w:pPr>
            <w:r>
              <w:rPr>
                <w:rFonts w:ascii="Arial" w:hAnsi="Arial" w:cs="Calibri"/>
                <w:b/>
                <w:sz w:val="22"/>
                <w:szCs w:val="22"/>
              </w:rPr>
              <w:t>Natureza da Despesa:</w:t>
            </w:r>
          </w:p>
          <w:p>
            <w:pPr>
              <w:rPr>
                <w:rFonts w:ascii="Arial" w:hAnsi="Arial" w:cs="Calibri"/>
                <w:b/>
                <w:sz w:val="22"/>
                <w:szCs w:val="22"/>
              </w:rPr>
            </w:pPr>
          </w:p>
        </w:tc>
        <w:tc>
          <w:tcPr>
            <w:tcW w:w="4486" w:type="dxa"/>
            <w:tcBorders>
              <w:left w:val="single" w:color="000000" w:sz="4" w:space="0"/>
              <w:bottom w:val="single" w:color="000000" w:sz="4" w:space="0"/>
              <w:right w:val="single" w:color="000000" w:sz="4" w:space="0"/>
            </w:tcBorders>
            <w:vAlign w:val="center"/>
          </w:tcPr>
          <w:p>
            <w:pPr>
              <w:spacing w:after="160"/>
              <w:jc w:val="center"/>
              <w:rPr>
                <w:rFonts w:ascii="Arial" w:hAnsi="Arial"/>
                <w:sz w:val="20"/>
              </w:rPr>
            </w:pPr>
            <w:r>
              <w:rPr>
                <w:rFonts w:ascii="Arial" w:hAnsi="Arial" w:eastAsia="SimSun" w:cs="Arial"/>
                <w:color w:val="000000"/>
                <w:sz w:val="22"/>
                <w:lang w:val="en-US" w:eastAsia="zh-CN"/>
              </w:rPr>
              <w:t>3.3.90.30.23</w:t>
            </w:r>
          </w:p>
        </w:tc>
      </w:tr>
    </w:tbl>
    <w:p>
      <w:pPr>
        <w:pStyle w:val="19"/>
        <w:widowControl/>
        <w:numPr>
          <w:ilvl w:val="0"/>
          <w:numId w:val="0"/>
        </w:numPr>
        <w:tabs>
          <w:tab w:val="left" w:pos="426"/>
        </w:tabs>
        <w:autoSpaceDE/>
        <w:autoSpaceDN/>
        <w:spacing w:before="120" w:after="120" w:line="276" w:lineRule="auto"/>
        <w:ind w:leftChars="0"/>
        <w:jc w:val="both"/>
        <w:rPr>
          <w:rFonts w:hint="default" w:ascii="Arial" w:hAnsi="Arial" w:cs="Arial"/>
          <w:lang w:val="pt-BR"/>
        </w:rPr>
      </w:pPr>
      <w:r>
        <w:rPr>
          <w:rFonts w:hint="default" w:ascii="Arial" w:hAnsi="Arial" w:cs="Arial"/>
          <w:lang w:val="pt-BR"/>
        </w:rPr>
        <w:t>13.2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sz w:val="22"/>
          <w:szCs w:val="22"/>
        </w:rPr>
        <w:t xml:space="preserve">QUARTA – ALTERAÇÕES </w:t>
      </w:r>
      <w:r>
        <w:rPr>
          <w:rFonts w:ascii="Arial" w:hAnsi="Arial" w:cs="Arial"/>
          <w:sz w:val="22"/>
          <w:szCs w:val="22"/>
          <w:lang w:val="pt-PT"/>
        </w:rPr>
        <w:t>DOS CASOS OMISSOS (</w:t>
      </w:r>
      <w:r>
        <w:fldChar w:fldCharType="begin"/>
      </w:r>
      <w:r>
        <w:instrText xml:space="preserve"> HYPERLINK "http://www.planalto.gov.br/ccivil_03/_ato2019-2022/2021/lei/L14133.htm" \l "art92" </w:instrText>
      </w:r>
      <w:r>
        <w:fldChar w:fldCharType="separate"/>
      </w:r>
      <w:r>
        <w:rPr>
          <w:rStyle w:val="9"/>
          <w:rFonts w:ascii="Arial" w:hAnsi="Arial" w:cs="Arial"/>
          <w:sz w:val="22"/>
          <w:szCs w:val="22"/>
          <w:lang w:val="pt-PT"/>
        </w:rPr>
        <w:t>art. 92, III</w:t>
      </w:r>
      <w:r>
        <w:rPr>
          <w:rStyle w:val="9"/>
          <w:rFonts w:ascii="Arial" w:hAnsi="Arial" w:cs="Arial"/>
          <w:sz w:val="22"/>
          <w:szCs w:val="22"/>
          <w:lang w:val="pt-PT"/>
        </w:rPr>
        <w:fldChar w:fldCharType="end"/>
      </w:r>
      <w:r>
        <w:rPr>
          <w:rFonts w:ascii="Arial" w:hAnsi="Arial" w:cs="Arial"/>
          <w:sz w:val="22"/>
          <w:szCs w:val="22"/>
          <w:lang w:val="pt-PT"/>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Os casos omissos serão decididos pelo contratante, segundo as disposições contidas na Lei </w:t>
      </w:r>
      <w:r>
        <w:fldChar w:fldCharType="begin"/>
      </w:r>
      <w:r>
        <w:instrText xml:space="preserve"> HYPERLINK "http://www.planalto.gov.br/ccivil_03/_ato2019-2022/2021/lei/L14133.htm" </w:instrText>
      </w:r>
      <w:r>
        <w:fldChar w:fldCharType="separate"/>
      </w:r>
      <w:r>
        <w:rPr>
          <w:rStyle w:val="9"/>
          <w:rFonts w:ascii="Arial" w:hAnsi="Arial" w:cs="Arial"/>
        </w:rPr>
        <w:t>nº 14.133, de 2021</w:t>
      </w:r>
      <w:r>
        <w:rPr>
          <w:rStyle w:val="9"/>
          <w:rFonts w:ascii="Arial" w:hAnsi="Arial" w:cs="Arial"/>
        </w:rPr>
        <w:fldChar w:fldCharType="end"/>
      </w:r>
      <w:r>
        <w:rPr>
          <w:rFonts w:ascii="Arial" w:hAnsi="Arial" w:cs="Arial"/>
        </w:rPr>
        <w:t xml:space="preserve">, e </w:t>
      </w:r>
      <w:r>
        <w:rPr>
          <w:rFonts w:ascii="Arial" w:hAnsi="Arial" w:cs="Arial"/>
          <w:lang w:val="pt-BR"/>
        </w:rPr>
        <w:t>demais</w:t>
      </w:r>
      <w:r>
        <w:rPr>
          <w:rFonts w:ascii="Arial" w:hAnsi="Arial" w:cs="Arial"/>
        </w:rPr>
        <w:t xml:space="preserve">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9"/>
          <w:rFonts w:ascii="Arial" w:hAnsi="Arial" w:cs="Arial"/>
        </w:rPr>
        <w:t>Lei nº 8.078, de 1990 – Código de Defesa do Consumidor</w:t>
      </w:r>
      <w:r>
        <w:rPr>
          <w:rStyle w:val="9"/>
          <w:rFonts w:ascii="Arial" w:hAnsi="Arial" w:cs="Arial"/>
        </w:rPr>
        <w:fldChar w:fldCharType="end"/>
      </w:r>
      <w:r>
        <w:rPr>
          <w:rFonts w:ascii="Arial" w:hAnsi="Arial" w:cs="Arial"/>
        </w:rPr>
        <w:t xml:space="preserve"> – e normas e princípios gerais dos contratos.</w:t>
      </w:r>
    </w:p>
    <w:p>
      <w:pPr>
        <w:pStyle w:val="34"/>
        <w:numPr>
          <w:ilvl w:val="0"/>
          <w:numId w:val="3"/>
        </w:numPr>
        <w:tabs>
          <w:tab w:val="left" w:pos="284"/>
          <w:tab w:val="left" w:pos="993"/>
        </w:tabs>
        <w:spacing w:line="276" w:lineRule="auto"/>
        <w:ind w:left="0" w:firstLine="0"/>
        <w:rPr>
          <w:rFonts w:ascii="Arial" w:hAnsi="Arial" w:cs="Arial"/>
          <w:color w:val="FFFFFF" w:themeColor="background1"/>
          <w:sz w:val="22"/>
          <w:szCs w:val="22"/>
          <w14:textFill>
            <w14:solidFill>
              <w14:schemeClr w14:val="bg1"/>
            </w14:solidFill>
          </w14:textFill>
        </w:rPr>
      </w:pPr>
      <w:r>
        <w:rPr>
          <w:rFonts w:ascii="Arial" w:hAnsi="Arial" w:cs="Arial"/>
          <w:color w:val="FFFFFF" w:themeColor="background1"/>
          <w:sz w:val="22"/>
          <w:szCs w:val="22"/>
          <w14:textFill>
            <w14:solidFill>
              <w14:schemeClr w14:val="bg1"/>
            </w14:solidFill>
          </w14:textFill>
        </w:rPr>
        <w:t xml:space="preserve"> </w:t>
      </w:r>
      <w:r>
        <w:rPr>
          <w:rFonts w:ascii="Arial" w:hAnsi="Arial" w:cs="Arial"/>
          <w:sz w:val="22"/>
          <w:szCs w:val="22"/>
        </w:rPr>
        <w:t>CLÁUSULA DÉCIMA QUINTA – ALTERAÇÕES</w:t>
      </w:r>
    </w:p>
    <w:p>
      <w:pPr>
        <w:pStyle w:val="19"/>
        <w:numPr>
          <w:ilvl w:val="1"/>
          <w:numId w:val="3"/>
        </w:numPr>
        <w:tabs>
          <w:tab w:val="left" w:pos="426"/>
        </w:tabs>
        <w:ind w:left="0" w:firstLine="0"/>
        <w:jc w:val="both"/>
        <w:rPr>
          <w:rFonts w:ascii="Arial" w:hAnsi="Arial" w:cs="Arial"/>
          <w:color w:val="000000"/>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3"/>
        </w:numPr>
        <w:tabs>
          <w:tab w:val="left" w:pos="426"/>
        </w:tabs>
        <w:ind w:left="0" w:firstLine="0"/>
        <w:jc w:val="both"/>
        <w:rPr>
          <w:rFonts w:ascii="Arial" w:hAnsi="Arial" w:cs="Arial"/>
        </w:rPr>
      </w:pPr>
      <w:r>
        <w:rPr>
          <w:rFonts w:ascii="Arial" w:hAnsi="Arial" w:cs="Arial"/>
        </w:rPr>
        <w:t xml:space="preserve">O contratado é </w:t>
      </w:r>
      <w:r>
        <w:rPr>
          <w:rFonts w:ascii="Arial" w:hAnsi="Arial" w:cs="Arial"/>
          <w:lang w:val="pt-BR"/>
        </w:rPr>
        <w:t>obrigado</w:t>
      </w:r>
      <w:r>
        <w:rPr>
          <w:rFonts w:ascii="Arial" w:hAnsi="Arial" w:cs="Arial"/>
        </w:rPr>
        <w:t xml:space="preserve">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rPr>
          <w:rFonts w:ascii="Arial" w:hAnsi="Arial" w:cs="Arial"/>
        </w:rPr>
      </w:pPr>
      <w:r>
        <w:rPr>
          <w:rFonts w:ascii="Arial" w:hAnsi="Arial" w:cs="Arial"/>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rPr>
        <w:t>art. 94 da Lei 14.133, de 2021</w:t>
      </w:r>
      <w:r>
        <w:rPr>
          <w:rStyle w:val="9"/>
          <w:rFonts w:ascii="Arial" w:hAnsi="Arial" w:cs="Arial"/>
        </w:rPr>
        <w:fldChar w:fldCharType="end"/>
      </w:r>
      <w:r>
        <w:rPr>
          <w:rFonts w:ascii="Arial" w:hAnsi="Arial" w:cs="Arial"/>
        </w:rPr>
        <w:t xml:space="preserve">, bem como no respectivo sítio oficial na Internet, em atenção ao art. 91, </w:t>
      </w:r>
      <w:r>
        <w:rPr>
          <w:rFonts w:ascii="Arial" w:hAnsi="Arial" w:cs="Arial"/>
          <w:i/>
        </w:rPr>
        <w:t>caput,</w:t>
      </w:r>
      <w:r>
        <w:rPr>
          <w:rFonts w:ascii="Arial" w:hAnsi="Arial" w:cs="Arial"/>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rPr>
        <w:t>art. 8º, §2º, da Lei n. 12.527, de 2011</w:t>
      </w:r>
      <w:r>
        <w:rPr>
          <w:rStyle w:val="9"/>
          <w:rFonts w:ascii="Arial" w:hAnsi="Arial" w:cs="Arial"/>
        </w:rPr>
        <w:fldChar w:fldCharType="end"/>
      </w:r>
      <w:r>
        <w:rPr>
          <w:rFonts w:ascii="Arial" w:hAnsi="Arial" w:cs="Arial"/>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rPr>
        <w:t>art. 7º, §3º, inciso V, do Decreto n. 7.724, de 2012</w:t>
      </w:r>
      <w:r>
        <w:rPr>
          <w:rStyle w:val="9"/>
          <w:rFonts w:ascii="Arial" w:hAnsi="Arial" w:cs="Arial"/>
        </w:rPr>
        <w:fldChar w:fldCharType="end"/>
      </w:r>
      <w:r>
        <w:rPr>
          <w:rFonts w:ascii="Arial" w:hAnsi="Arial" w:cs="Arial"/>
        </w:rPr>
        <w:t>.</w:t>
      </w: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76" w:lineRule="auto"/>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p>
      <w:pPr>
        <w:spacing w:after="120"/>
        <w:jc w:val="both"/>
        <w:rPr>
          <w:rFonts w:ascii="Arial" w:hAnsi="Arial" w:cs="Arial"/>
        </w:rPr>
      </w:pP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39130" cy="1163320"/>
          <wp:effectExtent l="0" t="0" r="0" b="0"/>
          <wp:docPr id="1" name="Imagem 1" descr="Secretaria de Educ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Educação"/>
                  <pic:cNvPicPr>
                    <a:picLocks noChangeAspect="1"/>
                  </pic:cNvPicPr>
                </pic:nvPicPr>
                <pic:blipFill>
                  <a:blip r:embed="rId1"/>
                  <a:stretch>
                    <a:fillRect/>
                  </a:stretch>
                </pic:blipFill>
                <pic:spPr>
                  <a:xfrm>
                    <a:off x="0" y="0"/>
                    <a:ext cx="5739130" cy="1163320"/>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43FA7"/>
    <w:rsid w:val="00055A35"/>
    <w:rsid w:val="00060815"/>
    <w:rsid w:val="00064A3F"/>
    <w:rsid w:val="000659B7"/>
    <w:rsid w:val="0007531B"/>
    <w:rsid w:val="00085E40"/>
    <w:rsid w:val="0008627F"/>
    <w:rsid w:val="00090A03"/>
    <w:rsid w:val="00090C31"/>
    <w:rsid w:val="00092735"/>
    <w:rsid w:val="00097D7B"/>
    <w:rsid w:val="000A1E64"/>
    <w:rsid w:val="000B23ED"/>
    <w:rsid w:val="000D17CB"/>
    <w:rsid w:val="000D45F1"/>
    <w:rsid w:val="000D6176"/>
    <w:rsid w:val="000E1E87"/>
    <w:rsid w:val="000E4CF2"/>
    <w:rsid w:val="000E4D70"/>
    <w:rsid w:val="000E6000"/>
    <w:rsid w:val="000E684C"/>
    <w:rsid w:val="000E6DAE"/>
    <w:rsid w:val="000E7913"/>
    <w:rsid w:val="000F0F17"/>
    <w:rsid w:val="000F2826"/>
    <w:rsid w:val="000F46E9"/>
    <w:rsid w:val="000F4D4D"/>
    <w:rsid w:val="00100FEB"/>
    <w:rsid w:val="0010179C"/>
    <w:rsid w:val="00102A53"/>
    <w:rsid w:val="001079D7"/>
    <w:rsid w:val="001149D8"/>
    <w:rsid w:val="001159AE"/>
    <w:rsid w:val="001272CC"/>
    <w:rsid w:val="00130DCF"/>
    <w:rsid w:val="00134FCE"/>
    <w:rsid w:val="00135F0B"/>
    <w:rsid w:val="0014449B"/>
    <w:rsid w:val="00147B9F"/>
    <w:rsid w:val="0015173F"/>
    <w:rsid w:val="0015751B"/>
    <w:rsid w:val="00165D70"/>
    <w:rsid w:val="001767E4"/>
    <w:rsid w:val="00181313"/>
    <w:rsid w:val="00185DBF"/>
    <w:rsid w:val="00187C1B"/>
    <w:rsid w:val="00193060"/>
    <w:rsid w:val="0019666A"/>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1F90"/>
    <w:rsid w:val="00264522"/>
    <w:rsid w:val="002663BD"/>
    <w:rsid w:val="00266B10"/>
    <w:rsid w:val="0027128E"/>
    <w:rsid w:val="00276B5D"/>
    <w:rsid w:val="0028199E"/>
    <w:rsid w:val="0028504B"/>
    <w:rsid w:val="00296174"/>
    <w:rsid w:val="002A4753"/>
    <w:rsid w:val="002A5731"/>
    <w:rsid w:val="002A7071"/>
    <w:rsid w:val="002B28F4"/>
    <w:rsid w:val="002B3DAB"/>
    <w:rsid w:val="002E0D02"/>
    <w:rsid w:val="002E43FD"/>
    <w:rsid w:val="002E71FD"/>
    <w:rsid w:val="002F2CC8"/>
    <w:rsid w:val="002F30A4"/>
    <w:rsid w:val="002F585C"/>
    <w:rsid w:val="00315F43"/>
    <w:rsid w:val="00320761"/>
    <w:rsid w:val="0032285B"/>
    <w:rsid w:val="00323F3D"/>
    <w:rsid w:val="00326DB2"/>
    <w:rsid w:val="003370B0"/>
    <w:rsid w:val="003378B0"/>
    <w:rsid w:val="00342284"/>
    <w:rsid w:val="003444FD"/>
    <w:rsid w:val="00347799"/>
    <w:rsid w:val="0035743C"/>
    <w:rsid w:val="003578AC"/>
    <w:rsid w:val="003649A2"/>
    <w:rsid w:val="00366D5F"/>
    <w:rsid w:val="00370B10"/>
    <w:rsid w:val="00374B3F"/>
    <w:rsid w:val="00380F2F"/>
    <w:rsid w:val="0038358C"/>
    <w:rsid w:val="00385663"/>
    <w:rsid w:val="00385B86"/>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4E5D"/>
    <w:rsid w:val="00415976"/>
    <w:rsid w:val="00415C1A"/>
    <w:rsid w:val="00417717"/>
    <w:rsid w:val="00430C16"/>
    <w:rsid w:val="0043121B"/>
    <w:rsid w:val="00436587"/>
    <w:rsid w:val="00442048"/>
    <w:rsid w:val="0044502E"/>
    <w:rsid w:val="004549BE"/>
    <w:rsid w:val="00461F93"/>
    <w:rsid w:val="00466044"/>
    <w:rsid w:val="00466BF6"/>
    <w:rsid w:val="004735E6"/>
    <w:rsid w:val="0047582C"/>
    <w:rsid w:val="00475936"/>
    <w:rsid w:val="0048007A"/>
    <w:rsid w:val="004959AC"/>
    <w:rsid w:val="004A09DC"/>
    <w:rsid w:val="004A1537"/>
    <w:rsid w:val="004A20F0"/>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83909"/>
    <w:rsid w:val="00594591"/>
    <w:rsid w:val="005C402B"/>
    <w:rsid w:val="005D7CC0"/>
    <w:rsid w:val="005E2922"/>
    <w:rsid w:val="005E753D"/>
    <w:rsid w:val="005F5E8D"/>
    <w:rsid w:val="005F6177"/>
    <w:rsid w:val="00604469"/>
    <w:rsid w:val="00612436"/>
    <w:rsid w:val="006142F9"/>
    <w:rsid w:val="00614DC0"/>
    <w:rsid w:val="00617943"/>
    <w:rsid w:val="00617E05"/>
    <w:rsid w:val="00620E2E"/>
    <w:rsid w:val="00623F21"/>
    <w:rsid w:val="0062482D"/>
    <w:rsid w:val="006306EF"/>
    <w:rsid w:val="00633BD8"/>
    <w:rsid w:val="00637E49"/>
    <w:rsid w:val="00641674"/>
    <w:rsid w:val="00645026"/>
    <w:rsid w:val="00646682"/>
    <w:rsid w:val="006709DA"/>
    <w:rsid w:val="0067457F"/>
    <w:rsid w:val="00691421"/>
    <w:rsid w:val="006A1B6A"/>
    <w:rsid w:val="006B62AB"/>
    <w:rsid w:val="006C7188"/>
    <w:rsid w:val="006D48A5"/>
    <w:rsid w:val="006D4909"/>
    <w:rsid w:val="006D6562"/>
    <w:rsid w:val="006E5958"/>
    <w:rsid w:val="006E635F"/>
    <w:rsid w:val="006F0ECE"/>
    <w:rsid w:val="00702E9E"/>
    <w:rsid w:val="007168B3"/>
    <w:rsid w:val="0071720D"/>
    <w:rsid w:val="00722F56"/>
    <w:rsid w:val="007270C7"/>
    <w:rsid w:val="00735ADD"/>
    <w:rsid w:val="00741433"/>
    <w:rsid w:val="007476E1"/>
    <w:rsid w:val="0075018C"/>
    <w:rsid w:val="007506FB"/>
    <w:rsid w:val="0075652C"/>
    <w:rsid w:val="00763341"/>
    <w:rsid w:val="00773AA0"/>
    <w:rsid w:val="007767C7"/>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518A"/>
    <w:rsid w:val="008A046D"/>
    <w:rsid w:val="008A31DA"/>
    <w:rsid w:val="008A72D1"/>
    <w:rsid w:val="008B0E02"/>
    <w:rsid w:val="008B1D7C"/>
    <w:rsid w:val="008B71AC"/>
    <w:rsid w:val="008C13A3"/>
    <w:rsid w:val="008C47CA"/>
    <w:rsid w:val="008C4D64"/>
    <w:rsid w:val="008C4FC6"/>
    <w:rsid w:val="008C6F60"/>
    <w:rsid w:val="008D3457"/>
    <w:rsid w:val="008D5F7A"/>
    <w:rsid w:val="008D78EA"/>
    <w:rsid w:val="008E1A25"/>
    <w:rsid w:val="008E4F62"/>
    <w:rsid w:val="008E5AD6"/>
    <w:rsid w:val="008E65D4"/>
    <w:rsid w:val="008E6D4F"/>
    <w:rsid w:val="008F5D23"/>
    <w:rsid w:val="0090165D"/>
    <w:rsid w:val="009039E8"/>
    <w:rsid w:val="009061B6"/>
    <w:rsid w:val="009063BB"/>
    <w:rsid w:val="009162EB"/>
    <w:rsid w:val="0092129B"/>
    <w:rsid w:val="009213D5"/>
    <w:rsid w:val="009327CB"/>
    <w:rsid w:val="009335AB"/>
    <w:rsid w:val="00941655"/>
    <w:rsid w:val="00944FFE"/>
    <w:rsid w:val="00954199"/>
    <w:rsid w:val="009553C6"/>
    <w:rsid w:val="00956E65"/>
    <w:rsid w:val="00971993"/>
    <w:rsid w:val="00972DD9"/>
    <w:rsid w:val="00974672"/>
    <w:rsid w:val="00974A4B"/>
    <w:rsid w:val="00975829"/>
    <w:rsid w:val="0097688D"/>
    <w:rsid w:val="0097702B"/>
    <w:rsid w:val="009872FB"/>
    <w:rsid w:val="009877CB"/>
    <w:rsid w:val="009A16F5"/>
    <w:rsid w:val="009B3712"/>
    <w:rsid w:val="009B3F0F"/>
    <w:rsid w:val="009C02ED"/>
    <w:rsid w:val="009C3548"/>
    <w:rsid w:val="009D2CA1"/>
    <w:rsid w:val="009F2F85"/>
    <w:rsid w:val="00A06D2F"/>
    <w:rsid w:val="00A111BA"/>
    <w:rsid w:val="00A14FF7"/>
    <w:rsid w:val="00A229E2"/>
    <w:rsid w:val="00A23D36"/>
    <w:rsid w:val="00A26E98"/>
    <w:rsid w:val="00A27B94"/>
    <w:rsid w:val="00A327A0"/>
    <w:rsid w:val="00A74974"/>
    <w:rsid w:val="00A75B6C"/>
    <w:rsid w:val="00A87002"/>
    <w:rsid w:val="00A92914"/>
    <w:rsid w:val="00A94653"/>
    <w:rsid w:val="00A96E16"/>
    <w:rsid w:val="00AA4EF9"/>
    <w:rsid w:val="00AC1FD2"/>
    <w:rsid w:val="00AC69AD"/>
    <w:rsid w:val="00AD022C"/>
    <w:rsid w:val="00AE2539"/>
    <w:rsid w:val="00AE7153"/>
    <w:rsid w:val="00AF4EE0"/>
    <w:rsid w:val="00AF5DD4"/>
    <w:rsid w:val="00AF6B88"/>
    <w:rsid w:val="00B0084D"/>
    <w:rsid w:val="00B01D5F"/>
    <w:rsid w:val="00B02294"/>
    <w:rsid w:val="00B03288"/>
    <w:rsid w:val="00B061E6"/>
    <w:rsid w:val="00B12062"/>
    <w:rsid w:val="00B13DC2"/>
    <w:rsid w:val="00B17BE8"/>
    <w:rsid w:val="00B25D0B"/>
    <w:rsid w:val="00B26F60"/>
    <w:rsid w:val="00B27105"/>
    <w:rsid w:val="00B30CA0"/>
    <w:rsid w:val="00B34CEA"/>
    <w:rsid w:val="00B35782"/>
    <w:rsid w:val="00B367AB"/>
    <w:rsid w:val="00B37399"/>
    <w:rsid w:val="00B375EA"/>
    <w:rsid w:val="00B42A6A"/>
    <w:rsid w:val="00B51D0D"/>
    <w:rsid w:val="00B52F88"/>
    <w:rsid w:val="00B676BB"/>
    <w:rsid w:val="00B721DC"/>
    <w:rsid w:val="00B92016"/>
    <w:rsid w:val="00B923BE"/>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196C"/>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A5F9F"/>
    <w:rsid w:val="00CA66DF"/>
    <w:rsid w:val="00CB6468"/>
    <w:rsid w:val="00CB7984"/>
    <w:rsid w:val="00CC0C99"/>
    <w:rsid w:val="00CC288A"/>
    <w:rsid w:val="00CC666F"/>
    <w:rsid w:val="00CE1CB6"/>
    <w:rsid w:val="00CF467B"/>
    <w:rsid w:val="00D048D4"/>
    <w:rsid w:val="00D06A05"/>
    <w:rsid w:val="00D22F45"/>
    <w:rsid w:val="00D2348E"/>
    <w:rsid w:val="00D23C8F"/>
    <w:rsid w:val="00D249B9"/>
    <w:rsid w:val="00D2776D"/>
    <w:rsid w:val="00D27AFB"/>
    <w:rsid w:val="00D5096A"/>
    <w:rsid w:val="00D653DF"/>
    <w:rsid w:val="00D7231B"/>
    <w:rsid w:val="00D7299B"/>
    <w:rsid w:val="00D73E45"/>
    <w:rsid w:val="00D80C21"/>
    <w:rsid w:val="00D90EA5"/>
    <w:rsid w:val="00D9158F"/>
    <w:rsid w:val="00D97BF6"/>
    <w:rsid w:val="00DA0D02"/>
    <w:rsid w:val="00DA57AB"/>
    <w:rsid w:val="00DA7D88"/>
    <w:rsid w:val="00DB1B33"/>
    <w:rsid w:val="00DB4906"/>
    <w:rsid w:val="00DB6EA1"/>
    <w:rsid w:val="00DC58C6"/>
    <w:rsid w:val="00DC6CC7"/>
    <w:rsid w:val="00DC6FCA"/>
    <w:rsid w:val="00DD641A"/>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F6AA9"/>
    <w:rsid w:val="00F232EF"/>
    <w:rsid w:val="00F30FF9"/>
    <w:rsid w:val="00F32C26"/>
    <w:rsid w:val="00F336C7"/>
    <w:rsid w:val="00F37352"/>
    <w:rsid w:val="00F40051"/>
    <w:rsid w:val="00F45FFC"/>
    <w:rsid w:val="00F46439"/>
    <w:rsid w:val="00F57615"/>
    <w:rsid w:val="00F829FD"/>
    <w:rsid w:val="00FA307E"/>
    <w:rsid w:val="00FA5861"/>
    <w:rsid w:val="00FB230B"/>
    <w:rsid w:val="00FB71A6"/>
    <w:rsid w:val="00FC22BB"/>
    <w:rsid w:val="00FD2171"/>
    <w:rsid w:val="00FD7FE7"/>
    <w:rsid w:val="00FE6985"/>
    <w:rsid w:val="00FF2E17"/>
    <w:rsid w:val="02E861A6"/>
    <w:rsid w:val="0EA438E0"/>
    <w:rsid w:val="0F1B1F03"/>
    <w:rsid w:val="10AD4C61"/>
    <w:rsid w:val="11CC2ACE"/>
    <w:rsid w:val="1AF72D93"/>
    <w:rsid w:val="1CF7799E"/>
    <w:rsid w:val="1FD12E07"/>
    <w:rsid w:val="2C306CEB"/>
    <w:rsid w:val="2E8D1B8A"/>
    <w:rsid w:val="315703D0"/>
    <w:rsid w:val="32422DB4"/>
    <w:rsid w:val="3C4D19A5"/>
    <w:rsid w:val="3C9967A2"/>
    <w:rsid w:val="3D361311"/>
    <w:rsid w:val="45301F1A"/>
    <w:rsid w:val="4A45065F"/>
    <w:rsid w:val="4BAC1379"/>
    <w:rsid w:val="4C0C7D76"/>
    <w:rsid w:val="4E0C6B11"/>
    <w:rsid w:val="4EFA68AB"/>
    <w:rsid w:val="501F24D5"/>
    <w:rsid w:val="54023048"/>
    <w:rsid w:val="5666424A"/>
    <w:rsid w:val="598972CF"/>
    <w:rsid w:val="599A0093"/>
    <w:rsid w:val="5C237373"/>
    <w:rsid w:val="5C2A3B26"/>
    <w:rsid w:val="5D8C37F7"/>
    <w:rsid w:val="623C6820"/>
    <w:rsid w:val="628B0426"/>
    <w:rsid w:val="64B33865"/>
    <w:rsid w:val="655965EF"/>
    <w:rsid w:val="68532C20"/>
    <w:rsid w:val="6A335FD9"/>
    <w:rsid w:val="71C27249"/>
    <w:rsid w:val="749B1192"/>
    <w:rsid w:val="77B2358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13</Pages>
  <Words>5363</Words>
  <Characters>28963</Characters>
  <Lines>241</Lines>
  <Paragraphs>68</Paragraphs>
  <TotalTime>1</TotalTime>
  <ScaleCrop>false</ScaleCrop>
  <LinksUpToDate>false</LinksUpToDate>
  <CharactersWithSpaces>34258</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izabella.nogueira</cp:lastModifiedBy>
  <cp:lastPrinted>2023-08-22T17:19:00Z</cp:lastPrinted>
  <dcterms:modified xsi:type="dcterms:W3CDTF">2026-07-20T16:29:27Z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AA5E36BE2C9D4DA8923CD79FAA21EA6C_12</vt:lpwstr>
  </property>
</Properties>
</file>